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 w:rsidTr="00323E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A6E4C" w:rsidRDefault="002A6E4C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обязанности </w:t>
            </w:r>
          </w:p>
          <w:p w:rsidR="009A6AFA" w:rsidRDefault="002A6E4C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282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</w:t>
            </w:r>
          </w:p>
          <w:p w:rsidR="002A6E4C" w:rsidRDefault="002A6E4C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имущественных отношений</w:t>
            </w:r>
          </w:p>
          <w:p w:rsidR="00323EE9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323E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2A6E4C" w:rsidP="002A6E4C">
            <w:pPr>
              <w:pStyle w:val="ConsPlusNonformat"/>
              <w:tabs>
                <w:tab w:val="left" w:pos="53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6E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A6E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Муцениекс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F3419B">
        <w:rPr>
          <w:rFonts w:ascii="Times New Roman" w:hAnsi="Times New Roman" w:cs="Times New Roman"/>
          <w:sz w:val="28"/>
          <w:szCs w:val="28"/>
        </w:rPr>
        <w:t>15</w:t>
      </w:r>
      <w:r w:rsidR="003A53D7">
        <w:rPr>
          <w:rFonts w:ascii="Times New Roman" w:hAnsi="Times New Roman" w:cs="Times New Roman"/>
          <w:sz w:val="28"/>
          <w:szCs w:val="28"/>
        </w:rPr>
        <w:t xml:space="preserve"> </w:t>
      </w:r>
      <w:r w:rsidR="00F3419B">
        <w:rPr>
          <w:rFonts w:ascii="Times New Roman" w:hAnsi="Times New Roman" w:cs="Times New Roman"/>
          <w:sz w:val="28"/>
          <w:szCs w:val="28"/>
        </w:rPr>
        <w:t>ноября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3419B">
        <w:rPr>
          <w:rFonts w:ascii="Times New Roman" w:hAnsi="Times New Roman" w:cs="Times New Roman"/>
          <w:sz w:val="28"/>
          <w:szCs w:val="28"/>
        </w:rPr>
        <w:t>7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F3419B" w:rsidRDefault="002826D3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F3419B" w:rsidRPr="00F341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F3419B" w:rsidRPr="00F3419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F3419B" w:rsidRDefault="00F3419B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B">
        <w:rPr>
          <w:rFonts w:ascii="Times New Roman" w:hAnsi="Times New Roman" w:cs="Times New Roman"/>
          <w:sz w:val="28"/>
          <w:szCs w:val="28"/>
        </w:rPr>
        <w:t xml:space="preserve"> регламента предоставления администрацией муниципального </w:t>
      </w:r>
    </w:p>
    <w:p w:rsidR="00F3419B" w:rsidRDefault="00F3419B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муниципальной услуги </w:t>
      </w:r>
    </w:p>
    <w:p w:rsidR="00F3419B" w:rsidRDefault="00F3419B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B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F3419B" w:rsidRDefault="00F3419B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B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</w:p>
    <w:p w:rsidR="009A6AFA" w:rsidRPr="00F10BF9" w:rsidRDefault="00F3419B" w:rsidP="00F34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19B">
        <w:rPr>
          <w:rFonts w:ascii="Times New Roman" w:hAnsi="Times New Roman" w:cs="Times New Roman"/>
          <w:sz w:val="28"/>
          <w:szCs w:val="28"/>
        </w:rPr>
        <w:t>город-курорт Геленджик, на торгах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8D415A" w:rsidRDefault="0042144F" w:rsidP="008D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052151" w:rsidRDefault="00D071EF" w:rsidP="008D4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администрации муниципального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поступивший </w:t>
      </w:r>
      <w:r w:rsidR="00F3419B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41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администрации муниципального образования город-курорт Геленджик «</w:t>
      </w:r>
      <w:r w:rsidR="008D415A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5A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«Предоставление земельных участков, находящихся в собственности муниципального образования</w:t>
      </w:r>
      <w:proofErr w:type="gramEnd"/>
      <w:r w:rsidR="008D415A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на торгах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проект), направленный для подготовки настоящего заключения управлением </w:t>
      </w:r>
      <w:r w:rsid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(далее – разработчик), и сообщает следующее.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регулирующего воздей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проектов муниципальных нормативных правовых актов муниципального образования город-курорт Геленджик, утве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ржденным постановлением админи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от 25 октября 2018 года №3258 «Об утверждении Поря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проведения оценки регулирую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для субъектов предпринимательской и иной экономической деятельности, обязанности для 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субъектов инвестиционной деятельности» (далее – Порядок) проект подлежит </w:t>
      </w:r>
      <w:r w:rsidR="0024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оценки регули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рующего воздействия.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разработчиком для проведения оценки регулирующего воздействия впервые.</w:t>
      </w:r>
    </w:p>
    <w:p w:rsidR="00D071EF" w:rsidRPr="00052151" w:rsidRDefault="00D071EF" w:rsidP="005D3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регулирования, в качестве альтернативного варианта правового регулирования разработчиком рассмотрен вариант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 проекта п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муни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365AAC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административного </w:t>
      </w:r>
      <w:r w:rsidR="00365AAC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</w:t>
      </w:r>
      <w:proofErr w:type="spellStart"/>
      <w:r w:rsidR="00365AAC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D35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5AAC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365AAC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муниципальной услуги «</w:t>
      </w:r>
      <w:proofErr w:type="spellStart"/>
      <w:r w:rsidR="003C5B6F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5D35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5B6F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proofErr w:type="spellEnd"/>
      <w:r w:rsidR="003C5B6F" w:rsidRPr="008D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в собственности муниципального образования город-курорт Геленджик, на торгах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сравнение данного вариант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действующим на момент прове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оценки регулирующего воздействия правовым регулированием рассматриваемой сферы общественных отношений (вариант непринятия нормативного правового акта).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варианта правового ре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гулирования, основанного на сведениях, сод</w:t>
      </w:r>
      <w:r w:rsid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ержащихся в соответствующих раз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 сводного отчета, и установлено следующее: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проблема, на решение которой направлено правовое регулирование,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верно;</w:t>
      </w:r>
    </w:p>
    <w:p w:rsidR="00CE34DF" w:rsidRPr="0069710F" w:rsidRDefault="00D071EF" w:rsidP="00697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определены потенциальные адресаты</w:t>
      </w:r>
      <w:r w:rsidR="003C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</w:t>
      </w: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рования: </w:t>
      </w:r>
      <w:r w:rsidR="0069710F" w:rsidRPr="00420041">
        <w:rPr>
          <w:rFonts w:ascii="Times New Roman" w:hAnsi="Times New Roman" w:cs="Times New Roman"/>
          <w:sz w:val="28"/>
          <w:szCs w:val="28"/>
        </w:rPr>
        <w:t>граждане и юридические лица</w:t>
      </w:r>
      <w:r w:rsidR="0069710F"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</w:t>
      </w:r>
      <w:r w:rsidR="0069710F">
        <w:rPr>
          <w:rFonts w:ascii="Times New Roman" w:hAnsi="Times New Roman" w:cs="Times New Roman"/>
          <w:sz w:val="28"/>
          <w:szCs w:val="28"/>
        </w:rPr>
        <w:t>номочиями выступать от их имени</w:t>
      </w:r>
      <w:r w:rsidR="00CE34DF">
        <w:rPr>
          <w:rFonts w:ascii="Times New Roman" w:hAnsi="Times New Roman" w:cs="Times New Roman"/>
          <w:sz w:val="28"/>
          <w:szCs w:val="28"/>
        </w:rPr>
        <w:t>;</w:t>
      </w:r>
    </w:p>
    <w:p w:rsidR="00471C10" w:rsidRPr="00825896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количественная оценка участников</w:t>
      </w:r>
      <w:r w:rsidR="00471C10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в муниципальном образовании город-курорт Геленджик по состоянию на                   10 октября 2024 года</w:t>
      </w:r>
      <w:r w:rsidR="002000B7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информации </w:t>
      </w:r>
      <w:r w:rsidR="0082563C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субъектов малого и среднего предпринимательства</w:t>
      </w:r>
      <w:r w:rsidR="00AA02E3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7146 субъектов малого и среднего предпринимательства</w:t>
      </w:r>
      <w:r w:rsidR="00825896" w:rsidRPr="008258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точное количество субъектов малого и среднего предпринимательства, зарегистрированных в других субъектах не представляется возможным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цели предлагаемого правового регулирования </w:t>
      </w:r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и                 направлены на решение выявленной проблемы;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sz w:val="28"/>
          <w:szCs w:val="28"/>
        </w:rPr>
        <w:t xml:space="preserve">– срок </w:t>
      </w:r>
      <w:r w:rsidRPr="0064015E">
        <w:rPr>
          <w:rStyle w:val="FontStyle12"/>
          <w:sz w:val="28"/>
          <w:szCs w:val="28"/>
        </w:rPr>
        <w:t xml:space="preserve">достижения заявленных целей: </w:t>
      </w:r>
      <w:r w:rsidR="0064015E" w:rsidRPr="0064015E">
        <w:rPr>
          <w:rStyle w:val="FontStyle12"/>
          <w:sz w:val="28"/>
          <w:szCs w:val="28"/>
        </w:rPr>
        <w:t>с дат</w:t>
      </w:r>
      <w:r w:rsidR="0064015E">
        <w:rPr>
          <w:rStyle w:val="FontStyle12"/>
          <w:sz w:val="28"/>
          <w:szCs w:val="28"/>
        </w:rPr>
        <w:t>ы</w:t>
      </w:r>
      <w:r w:rsidR="0064015E" w:rsidRPr="0064015E">
        <w:rPr>
          <w:rStyle w:val="FontStyle12"/>
          <w:sz w:val="28"/>
          <w:szCs w:val="28"/>
        </w:rPr>
        <w:t xml:space="preserve"> вступления в силу правового регулирования, в </w:t>
      </w:r>
      <w:proofErr w:type="gramStart"/>
      <w:r w:rsidR="0064015E" w:rsidRPr="0064015E">
        <w:rPr>
          <w:rStyle w:val="FontStyle12"/>
          <w:sz w:val="28"/>
          <w:szCs w:val="28"/>
        </w:rPr>
        <w:t>связи</w:t>
      </w:r>
      <w:proofErr w:type="gramEnd"/>
      <w:r w:rsidR="0064015E" w:rsidRPr="0064015E">
        <w:rPr>
          <w:rStyle w:val="FontStyle12"/>
          <w:sz w:val="28"/>
          <w:szCs w:val="28"/>
        </w:rPr>
        <w:t xml:space="preserve"> с чем отсутствует необходимость в последующем мон</w:t>
      </w:r>
      <w:r w:rsidR="0064015E" w:rsidRPr="0064015E">
        <w:rPr>
          <w:rStyle w:val="FontStyle12"/>
          <w:sz w:val="28"/>
          <w:szCs w:val="28"/>
        </w:rPr>
        <w:t>и</w:t>
      </w:r>
      <w:r w:rsidR="0064015E" w:rsidRPr="0064015E">
        <w:rPr>
          <w:rStyle w:val="FontStyle12"/>
          <w:sz w:val="28"/>
          <w:szCs w:val="28"/>
        </w:rPr>
        <w:t>торинге ее достижения</w:t>
      </w:r>
      <w:r w:rsidRPr="0064015E">
        <w:rPr>
          <w:rStyle w:val="FontStyle12"/>
          <w:sz w:val="28"/>
          <w:szCs w:val="28"/>
        </w:rPr>
        <w:t>;</w:t>
      </w:r>
    </w:p>
    <w:p w:rsidR="00D071EF" w:rsidRPr="00052151" w:rsidRDefault="00D071EF" w:rsidP="00D071EF">
      <w:pPr>
        <w:pStyle w:val="Style3"/>
        <w:widowControl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lastRenderedPageBreak/>
        <w:t>– предполагаются разовые информационные издержки потенциальных адресатов предлагаемого правового регулирования на подготовку и подачу з</w:t>
      </w:r>
      <w:r w:rsidRPr="00052151">
        <w:rPr>
          <w:rStyle w:val="FontStyle12"/>
          <w:sz w:val="28"/>
          <w:szCs w:val="28"/>
        </w:rPr>
        <w:t>а</w:t>
      </w:r>
      <w:r w:rsidRPr="00052151">
        <w:rPr>
          <w:rStyle w:val="FontStyle12"/>
          <w:sz w:val="28"/>
          <w:szCs w:val="28"/>
        </w:rPr>
        <w:t xml:space="preserve">явления о предоставлении муниципальной услуги, которые составят примерно </w:t>
      </w:r>
      <w:r w:rsidR="00250CCB">
        <w:rPr>
          <w:rStyle w:val="FontStyle12"/>
          <w:sz w:val="28"/>
          <w:szCs w:val="28"/>
        </w:rPr>
        <w:t>215,49</w:t>
      </w:r>
      <w:r w:rsidRPr="00052151">
        <w:rPr>
          <w:rStyle w:val="FontStyle12"/>
          <w:sz w:val="28"/>
          <w:szCs w:val="28"/>
        </w:rPr>
        <w:t xml:space="preserve"> рублей в расчете на 1 заявителя;</w:t>
      </w:r>
    </w:p>
    <w:p w:rsidR="00D071EF" w:rsidRPr="00052151" w:rsidRDefault="00D071EF" w:rsidP="00D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дополнительных расходов местного бюджета муниципального </w:t>
      </w:r>
      <w:proofErr w:type="spellStart"/>
      <w:proofErr w:type="gram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образо-вания</w:t>
      </w:r>
      <w:proofErr w:type="spellEnd"/>
      <w:proofErr w:type="gram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Геленджик, связанных с введением предлагаемого право-</w:t>
      </w:r>
      <w:proofErr w:type="spellStart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регулирования, не предполагается;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 xml:space="preserve">– доходы потенциальных адресатов предлагаемого правового </w:t>
      </w:r>
      <w:proofErr w:type="spellStart"/>
      <w:proofErr w:type="gramStart"/>
      <w:r w:rsidRPr="00052151">
        <w:rPr>
          <w:rStyle w:val="FontStyle12"/>
          <w:sz w:val="28"/>
          <w:szCs w:val="28"/>
        </w:rPr>
        <w:t>регулирова-ния</w:t>
      </w:r>
      <w:proofErr w:type="spellEnd"/>
      <w:proofErr w:type="gramEnd"/>
      <w:r w:rsidRPr="00052151">
        <w:rPr>
          <w:rStyle w:val="FontStyle12"/>
          <w:sz w:val="28"/>
          <w:szCs w:val="28"/>
        </w:rPr>
        <w:t xml:space="preserve"> не предполагаются;</w:t>
      </w:r>
    </w:p>
    <w:p w:rsidR="00D071EF" w:rsidRPr="00052151" w:rsidRDefault="00D071EF" w:rsidP="00D071EF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052151">
        <w:rPr>
          <w:rStyle w:val="FontStyle12"/>
          <w:sz w:val="28"/>
          <w:szCs w:val="28"/>
        </w:rPr>
        <w:t>– риски введения предлагаемого правового регулирования, по мнению разработчика, отсутствуют.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правового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ре-гулирования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основанного на сведениях, содержащихся в соответствующих разделах сводного отчета, и установлено следующее:</w:t>
      </w:r>
    </w:p>
    <w:p w:rsidR="00D071EF" w:rsidRPr="002928BD" w:rsidRDefault="00D071EF" w:rsidP="0085168D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8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8D" w:rsidRPr="008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датой вступления в силу правового регулирования, в </w:t>
      </w:r>
      <w:proofErr w:type="gramStart"/>
      <w:r w:rsidR="0085168D" w:rsidRPr="00851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85168D" w:rsidRPr="0085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отсутствует необходимость в последующем мониторинге ее достижения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tabs>
          <w:tab w:val="left" w:pos="110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Проблемы, на решение которых направлено предлагаемое проектом правовое регулирование заключаются в следующем:</w:t>
      </w:r>
    </w:p>
    <w:p w:rsidR="00D071EF" w:rsidRPr="002928BD" w:rsidRDefault="00617100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="000D4740" w:rsidRPr="005D73F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340C75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рассматриваемым проектом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предла-гается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административный регламент предоставле-ния администрацией муниципального образования город-курорт Геленджик муниципальной услуги «</w:t>
      </w:r>
      <w:r w:rsidR="000D4740" w:rsidRPr="005D73F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требований действующего законодательства к структуре и содержан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административного регламента, включая перечень документов, необходимый для представления заявителем в целях получения муниципальной услуги.</w:t>
      </w:r>
    </w:p>
    <w:p w:rsidR="00D071EF" w:rsidRPr="002928BD" w:rsidRDefault="00D071EF" w:rsidP="00D071EF">
      <w:pPr>
        <w:tabs>
          <w:tab w:val="left" w:pos="12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 проектом правовое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регули-рование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правовыми, информационными или организационными сред-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представляется возможным.</w:t>
      </w:r>
    </w:p>
    <w:p w:rsidR="00D071EF" w:rsidRPr="00340C75" w:rsidRDefault="00D071EF" w:rsidP="00D071EF">
      <w:pPr>
        <w:tabs>
          <w:tab w:val="left" w:pos="1087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проекта отвечают принципам правового регулирования,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-ленным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Федерации, и заключаются:</w:t>
      </w:r>
    </w:p>
    <w:p w:rsidR="00F75013" w:rsidRDefault="00E6746D" w:rsidP="00E674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F75013">
        <w:rPr>
          <w:rFonts w:ascii="Times New Roman" w:hAnsi="Times New Roman" w:cs="Times New Roman"/>
          <w:sz w:val="28"/>
          <w:szCs w:val="28"/>
          <w:lang w:eastAsia="ar-SA"/>
        </w:rPr>
        <w:t>обеспечение предоставления муниципальной услуги в соответствии с нормами действующего законодательства.</w:t>
      </w:r>
    </w:p>
    <w:p w:rsidR="004E7CC5" w:rsidRPr="004E7CC5" w:rsidRDefault="00D071EF" w:rsidP="004E7CC5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предусматривает положения, которыми 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изменяется содерж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 и обязанностей субъектов предпринимательской и иной экономич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7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в части: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соблюдения заявителем требований к перечню документов,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необходи-мых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устанавливаемому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лом 2.6 Регламента с учетом изменений федеральных и региональных норма-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</w:t>
      </w:r>
    </w:p>
    <w:p w:rsidR="00427594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изменяются </w:t>
      </w:r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органов местного самоуправления муниципального образования</w:t>
      </w:r>
      <w:proofErr w:type="gramEnd"/>
      <w:r w:rsidR="0042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DF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субъектами предпринимательской и иной экономической деятельности в части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муниципальной услуги;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</w:t>
      </w:r>
      <w:proofErr w:type="gramStart"/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либо об отказе в его проведении;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</w:t>
      </w:r>
      <w:proofErr w:type="gramStart"/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для участия в аукционе;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заявок;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аукциона;</w:t>
      </w:r>
    </w:p>
    <w:p w:rsidR="001A4CE7" w:rsidRPr="001A4CE7" w:rsidRDefault="001A4CE7" w:rsidP="001A4CE7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направлени</w:t>
      </w:r>
      <w:r w:rsidR="00DE51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купли-продажи или аренды земельного участка победителю аукциона или иному лицу.</w:t>
      </w:r>
    </w:p>
    <w:p w:rsidR="007F502A" w:rsidRPr="00F13086" w:rsidRDefault="001A4CE7" w:rsidP="00D73F51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постановлением главы администрации (губернатора) Краснодарского края от 10 октября 2022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№716 (в редакции постановлени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главы администрации (губернатора) Краснодарского края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мая 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37D7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5C6FF0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основании которого разработан</w:t>
      </w:r>
      <w:r w:rsidR="00EC43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постановление 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муниципального образования город-курорт Геленджик от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31E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 сентября 2022 года №2057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«Об утверждении Правил разработки и утверждения административных 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регламентов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предоставления муниципальных услуг» (в редакции постановления администрации муниципального образования город-курорт Геленджик от 9 ноября</w:t>
      </w:r>
      <w:r w:rsidR="0054331C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32FA9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 года №2446)</w:t>
      </w:r>
      <w:r w:rsidR="00751FDD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(далее – Постановление №2057)</w:t>
      </w:r>
      <w:r w:rsidR="00720F92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56DC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установлен </w:t>
      </w:r>
      <w:r w:rsidR="0088403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5E03F1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остав, последовательность и сроки выполнения административных процедур</w:t>
      </w:r>
      <w:r w:rsidR="00F13086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22E58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31007" w:rsidRPr="00F13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E67B3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недостижения целей правового регулирования, а также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proofErr w:type="gram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от введения правового регулирования для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эконо-мического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муниципального образования город-курорт Геленджик 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ключаются в следующем</w:t>
      </w:r>
    </w:p>
    <w:p w:rsidR="00FE67B3" w:rsidRPr="00F13086" w:rsidRDefault="00FE67B3" w:rsidP="00522E58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Постановлением №2057 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заявителей, в числе к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22E58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торых также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юридические лица, установлены следующие администрати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процедуры</w:t>
      </w:r>
      <w:r w:rsidR="0008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A1503"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предоставлении муниципальной услуги: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профилирования заявителя; 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приема запроса и документов и (или) информации, необходимых для предоставления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приостановления предоставления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– принятия решения о предоставлении (об отказе в предоставлении) муниципальной услуги;</w:t>
      </w:r>
    </w:p>
    <w:p w:rsidR="00F13086" w:rsidRPr="00F13086" w:rsidRDefault="00F13086" w:rsidP="00F13086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предоставления результата муниципальной услуги;</w:t>
      </w:r>
    </w:p>
    <w:p w:rsidR="000A1503" w:rsidRDefault="00F13086" w:rsidP="00F13086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получения дополнительных сведений от заявителя.</w:t>
      </w:r>
    </w:p>
    <w:p w:rsidR="0008542D" w:rsidRPr="00AB5F44" w:rsidRDefault="00AB5F44" w:rsidP="005D3578">
      <w:pPr>
        <w:widowControl w:val="0"/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принятие Проекта </w:t>
      </w:r>
      <w:r w:rsidR="009F62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44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способствовать нарушению п</w:t>
      </w:r>
      <w:r w:rsidR="000544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44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рядка, установленного Постановлением №2057, что</w:t>
      </w:r>
      <w:r w:rsidR="009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нарушению законных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 w:rsidR="005D3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 м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</w:t>
      </w:r>
      <w:r w:rsidR="005D3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джик, а также субъектов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деятельн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зарегистрированных </w:t>
      </w:r>
      <w:r w:rsidR="00DF1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субъектах</w:t>
      </w:r>
      <w:r w:rsidR="009F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79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недопуст</w:t>
      </w:r>
      <w:r w:rsidR="00AD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79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мым.</w:t>
      </w:r>
    </w:p>
    <w:p w:rsidR="00D071EF" w:rsidRPr="00FE67B3" w:rsidRDefault="00D071EF" w:rsidP="00D071EF">
      <w:pPr>
        <w:widowControl w:val="0"/>
        <w:numPr>
          <w:ilvl w:val="0"/>
          <w:numId w:val="7"/>
        </w:numPr>
        <w:tabs>
          <w:tab w:val="left" w:pos="1138"/>
        </w:tabs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бюджета муниципального образования </w:t>
      </w:r>
      <w:proofErr w:type="spellStart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-род-курорт Геленджик, связанные с введением предлагаемого правового рег</w:t>
      </w: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6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лирования, не предполагаются.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Предполагаются расходы</w:t>
      </w:r>
      <w:r w:rsidR="0059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и иной экономической деятельности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понесенные от регулирующего воздействия </w:t>
      </w:r>
      <w:r w:rsidR="0065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</w:t>
      </w:r>
      <w:r w:rsidR="0065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правового акта</w:t>
      </w:r>
      <w:r w:rsidR="00A7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примерно </w:t>
      </w:r>
      <w:r w:rsidR="00817870" w:rsidRP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215,49</w:t>
      </w:r>
      <w:r w:rsidR="00817870">
        <w:rPr>
          <w:rFonts w:ascii="Times New Roman" w:hAnsi="Times New Roman" w:cs="Times New Roman"/>
          <w:sz w:val="24"/>
          <w:szCs w:val="24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на 1 заявителя.</w:t>
      </w:r>
    </w:p>
    <w:p w:rsidR="00D071EF" w:rsidRPr="002928BD" w:rsidRDefault="00D071EF" w:rsidP="00D071EF">
      <w:pPr>
        <w:widowControl w:val="0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издержек произведен согласно Методике оценки стандартных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держек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предпринимательской и иной экономической деятельности, возникающих в связи с использованием требований регулирования,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приказом Министерства экономического развития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сентября 2015 года №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669, информационные издержки регулирования включают в себя затраты на подготовку и представление информации в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проекта.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вышеуказанной суммы затрат произведен с использованием калькулятора расчета стандартных издержек (regulation.gov.ru):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требования: подача заявления о предоставлении муниципальной услуги;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требования: предоставление информации;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требования: информационное;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элемент: подача заявления о предоставлении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0" w:name="_GoBack"/>
      <w:bookmarkEnd w:id="0"/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масштаб: подача заявления – 1 ед. </w:t>
      </w:r>
    </w:p>
    <w:p w:rsidR="00D071EF" w:rsidRPr="002928BD" w:rsidRDefault="00D071EF" w:rsidP="00D071EF">
      <w:pPr>
        <w:tabs>
          <w:tab w:val="left" w:pos="1138"/>
          <w:tab w:val="center" w:pos="5173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частота: 1 раз в год.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документа - 0,50 чел./часов.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приобретений: Нет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работников крупных и средних </w:t>
      </w:r>
      <w:proofErr w:type="spellStart"/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органи-заций</w:t>
      </w:r>
      <w:proofErr w:type="spellEnd"/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по состоянию       на 1 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данным органов статистики –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71074</w:t>
      </w:r>
      <w:r w:rsidR="0009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Среднемесячное количество рабочих часов, исходя из производственного календаря на 202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164,</w:t>
      </w:r>
      <w:r w:rsidR="00113C3F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часа работы: 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430,98</w:t>
      </w:r>
      <w:r w:rsidR="004E54CE" w:rsidRPr="00EF74B2">
        <w:rPr>
          <w:rFonts w:ascii="Times New Roman" w:hAnsi="Times New Roman" w:cs="Times New Roman"/>
          <w:sz w:val="24"/>
          <w:szCs w:val="24"/>
        </w:rPr>
        <w:t xml:space="preserve"> </w:t>
      </w:r>
      <w:r w:rsid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требования: (</w:t>
      </w:r>
      <w:r w:rsidR="004E54CE" w:rsidRPr="004E54CE">
        <w:rPr>
          <w:rFonts w:ascii="Times New Roman" w:eastAsia="Times New Roman" w:hAnsi="Times New Roman" w:cs="Times New Roman"/>
          <w:sz w:val="28"/>
          <w:szCs w:val="28"/>
          <w:lang w:eastAsia="ru-RU"/>
        </w:rPr>
        <w:t>71074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/164,42)*0,5 = </w:t>
      </w:r>
      <w:r w:rsidR="00222C2B" w:rsidRP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215,49</w:t>
      </w:r>
      <w:r w:rsidR="00222C2B">
        <w:rPr>
          <w:rFonts w:ascii="Times New Roman" w:hAnsi="Times New Roman" w:cs="Times New Roman"/>
          <w:sz w:val="24"/>
          <w:szCs w:val="24"/>
        </w:rPr>
        <w:t xml:space="preserve"> 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D071EF" w:rsidRPr="002928BD" w:rsidRDefault="00D071EF" w:rsidP="00D071EF">
      <w:pPr>
        <w:tabs>
          <w:tab w:val="left" w:pos="1138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Необоснованные расходы потенциальных адресатов предлагаемого правового регулирования не выявлены.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уполномоченный орган провёл публичные консультации по проекту в период с 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22C2B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071EF" w:rsidRPr="002928BD" w:rsidRDefault="00D071EF" w:rsidP="00D071EF">
      <w:pPr>
        <w:widowControl w:val="0"/>
        <w:numPr>
          <w:ilvl w:val="0"/>
          <w:numId w:val="8"/>
        </w:numPr>
        <w:tabs>
          <w:tab w:val="left" w:pos="986"/>
        </w:tabs>
        <w:suppressAutoHyphens w:val="0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проводимых публичных консультациях была размещена на официальном сайте администрации муниципального образования горо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 Геленджик:</w:t>
      </w:r>
    </w:p>
    <w:p w:rsidR="00D071EF" w:rsidRPr="001A0C61" w:rsidRDefault="009A4FF2" w:rsidP="00D071EF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regulatory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otsenka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reguliruyushchego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vozdeystviya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uvedomleniya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provedenii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publichnykh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konsultatsiy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proektov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npa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detail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A4F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9A4FF2">
        <w:rPr>
          <w:rFonts w:ascii="Times New Roman" w:eastAsia="Times New Roman" w:hAnsi="Times New Roman" w:cs="Times New Roman"/>
          <w:sz w:val="28"/>
          <w:szCs w:val="28"/>
          <w:lang w:eastAsia="ru-RU"/>
        </w:rPr>
        <w:t>=81570</w:t>
      </w:r>
      <w:r w:rsidR="00D071EF" w:rsidRPr="001A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публичных консультаций замечания и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от Торгово-промышленной палаты города-курорта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Ассоциации «Содействие в развитии курорта Геленджик», обществен-</w:t>
      </w:r>
      <w:proofErr w:type="spell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Уполномоченного по защите прав предпринимателей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D071EF" w:rsidRPr="002928BD" w:rsidRDefault="00D071EF" w:rsidP="00D071EF">
      <w:pPr>
        <w:widowControl w:val="0"/>
        <w:numPr>
          <w:ilvl w:val="0"/>
          <w:numId w:val="9"/>
        </w:numPr>
        <w:tabs>
          <w:tab w:val="left" w:pos="116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регулирующего воздействия сделаны выводы о 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</w:t>
      </w:r>
      <w:r w:rsid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его дальнейшего согласования,  с учетом рисков, изложенных в заключении.</w:t>
      </w: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71EF"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экономики</w:t>
      </w:r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071EF" w:rsidRPr="002928BD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</w:t>
      </w:r>
      <w:r w:rsidR="0068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Питер</w:t>
      </w:r>
    </w:p>
    <w:p w:rsidR="00D071EF" w:rsidRDefault="00D071EF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4FF2" w:rsidRDefault="009A4FF2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BDE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071EF" w:rsidRPr="002928BD" w:rsidRDefault="00E24BDE" w:rsidP="00D071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D071EF" w:rsidRPr="002928BD">
        <w:rPr>
          <w:rFonts w:ascii="Times New Roman" w:eastAsia="Times New Roman" w:hAnsi="Times New Roman" w:cs="Times New Roman"/>
          <w:szCs w:val="24"/>
          <w:lang w:eastAsia="ru-RU"/>
        </w:rPr>
        <w:t>орос Анастасия Викторовна</w:t>
      </w:r>
    </w:p>
    <w:p w:rsidR="007C52B2" w:rsidRDefault="00D071EF" w:rsidP="00685B97">
      <w:pPr>
        <w:autoSpaceDE w:val="0"/>
        <w:autoSpaceDN w:val="0"/>
        <w:adjustRightInd w:val="0"/>
        <w:spacing w:after="0" w:line="240" w:lineRule="auto"/>
      </w:pPr>
      <w:r w:rsidRPr="002928BD">
        <w:rPr>
          <w:rFonts w:ascii="Times New Roman" w:eastAsia="Times New Roman" w:hAnsi="Times New Roman" w:cs="Times New Roman"/>
          <w:szCs w:val="24"/>
          <w:lang w:eastAsia="ru-RU"/>
        </w:rPr>
        <w:t>+7(86141) 3-33-43</w:t>
      </w:r>
    </w:p>
    <w:sectPr w:rsidR="007C52B2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DC" w:rsidRDefault="009074DC">
      <w:pPr>
        <w:spacing w:after="0" w:line="240" w:lineRule="auto"/>
      </w:pPr>
      <w:r>
        <w:separator/>
      </w:r>
    </w:p>
  </w:endnote>
  <w:endnote w:type="continuationSeparator" w:id="0">
    <w:p w:rsidR="009074DC" w:rsidRDefault="0090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DC" w:rsidRDefault="009074DC">
      <w:pPr>
        <w:spacing w:after="0" w:line="240" w:lineRule="auto"/>
      </w:pPr>
      <w:r>
        <w:separator/>
      </w:r>
    </w:p>
  </w:footnote>
  <w:footnote w:type="continuationSeparator" w:id="0">
    <w:p w:rsidR="009074DC" w:rsidRDefault="0090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EndPr/>
    <w:sdtContent>
      <w:p w:rsidR="004D6D8A" w:rsidRDefault="004D6D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76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6D8A" w:rsidRDefault="004D6D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54DB27AF"/>
    <w:multiLevelType w:val="singleLevel"/>
    <w:tmpl w:val="24B6C6D8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F1803C1"/>
    <w:multiLevelType w:val="singleLevel"/>
    <w:tmpl w:val="52946B46"/>
    <w:lvl w:ilvl="0">
      <w:start w:val="9"/>
      <w:numFmt w:val="decimal"/>
      <w:lvlText w:val="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6">
    <w:nsid w:val="7F583232"/>
    <w:multiLevelType w:val="singleLevel"/>
    <w:tmpl w:val="D47ADD70"/>
    <w:lvl w:ilvl="0">
      <w:start w:val="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254DC"/>
    <w:rsid w:val="000316D8"/>
    <w:rsid w:val="000316DD"/>
    <w:rsid w:val="000544F2"/>
    <w:rsid w:val="0008542D"/>
    <w:rsid w:val="00094EE2"/>
    <w:rsid w:val="00095908"/>
    <w:rsid w:val="000A1503"/>
    <w:rsid w:val="000A211F"/>
    <w:rsid w:val="000B6040"/>
    <w:rsid w:val="000D4740"/>
    <w:rsid w:val="001060CB"/>
    <w:rsid w:val="00113C3F"/>
    <w:rsid w:val="00132FA9"/>
    <w:rsid w:val="00146970"/>
    <w:rsid w:val="00170BB8"/>
    <w:rsid w:val="001A0C61"/>
    <w:rsid w:val="001A4CE7"/>
    <w:rsid w:val="001A5683"/>
    <w:rsid w:val="001A6F18"/>
    <w:rsid w:val="001E6B99"/>
    <w:rsid w:val="002000B7"/>
    <w:rsid w:val="0020528E"/>
    <w:rsid w:val="00222C2B"/>
    <w:rsid w:val="00231007"/>
    <w:rsid w:val="002452D8"/>
    <w:rsid w:val="00250CCB"/>
    <w:rsid w:val="0025438F"/>
    <w:rsid w:val="002553FB"/>
    <w:rsid w:val="002826D3"/>
    <w:rsid w:val="00295053"/>
    <w:rsid w:val="002A6E4C"/>
    <w:rsid w:val="002C304C"/>
    <w:rsid w:val="00323EE9"/>
    <w:rsid w:val="003507A4"/>
    <w:rsid w:val="00365AAC"/>
    <w:rsid w:val="00375178"/>
    <w:rsid w:val="003A53D7"/>
    <w:rsid w:val="003C5B6F"/>
    <w:rsid w:val="003D7B6F"/>
    <w:rsid w:val="00414610"/>
    <w:rsid w:val="0042144F"/>
    <w:rsid w:val="004220DC"/>
    <w:rsid w:val="00427594"/>
    <w:rsid w:val="004555AE"/>
    <w:rsid w:val="00466973"/>
    <w:rsid w:val="00471C10"/>
    <w:rsid w:val="00472082"/>
    <w:rsid w:val="0047537C"/>
    <w:rsid w:val="004933D0"/>
    <w:rsid w:val="004D6D8A"/>
    <w:rsid w:val="004E05DA"/>
    <w:rsid w:val="004E54CE"/>
    <w:rsid w:val="004E7CC5"/>
    <w:rsid w:val="00522E58"/>
    <w:rsid w:val="00542B43"/>
    <w:rsid w:val="0054331C"/>
    <w:rsid w:val="0054394B"/>
    <w:rsid w:val="0055514A"/>
    <w:rsid w:val="005719E9"/>
    <w:rsid w:val="00595D87"/>
    <w:rsid w:val="005C6FF0"/>
    <w:rsid w:val="005D3578"/>
    <w:rsid w:val="005E03F1"/>
    <w:rsid w:val="005E5DBE"/>
    <w:rsid w:val="005F3872"/>
    <w:rsid w:val="00617100"/>
    <w:rsid w:val="00630D81"/>
    <w:rsid w:val="0064015E"/>
    <w:rsid w:val="0065694B"/>
    <w:rsid w:val="00657282"/>
    <w:rsid w:val="00671B38"/>
    <w:rsid w:val="00685B97"/>
    <w:rsid w:val="0069710F"/>
    <w:rsid w:val="006A0C86"/>
    <w:rsid w:val="006A5417"/>
    <w:rsid w:val="006C6B36"/>
    <w:rsid w:val="00711399"/>
    <w:rsid w:val="007160C1"/>
    <w:rsid w:val="00720F92"/>
    <w:rsid w:val="00723602"/>
    <w:rsid w:val="00745F92"/>
    <w:rsid w:val="00751FDD"/>
    <w:rsid w:val="00791FF4"/>
    <w:rsid w:val="007A6E1E"/>
    <w:rsid w:val="007B2FB2"/>
    <w:rsid w:val="007C52B2"/>
    <w:rsid w:val="007F502A"/>
    <w:rsid w:val="008050D9"/>
    <w:rsid w:val="0081275F"/>
    <w:rsid w:val="00817870"/>
    <w:rsid w:val="0082563C"/>
    <w:rsid w:val="00825896"/>
    <w:rsid w:val="008401E6"/>
    <w:rsid w:val="0085168D"/>
    <w:rsid w:val="00856C13"/>
    <w:rsid w:val="00884037"/>
    <w:rsid w:val="008A776B"/>
    <w:rsid w:val="008B51F5"/>
    <w:rsid w:val="008C3A4F"/>
    <w:rsid w:val="008D415A"/>
    <w:rsid w:val="009074DC"/>
    <w:rsid w:val="0097083C"/>
    <w:rsid w:val="00994D30"/>
    <w:rsid w:val="009962B8"/>
    <w:rsid w:val="009A4FF2"/>
    <w:rsid w:val="009A5702"/>
    <w:rsid w:val="009A6AFA"/>
    <w:rsid w:val="009C760B"/>
    <w:rsid w:val="009F62FD"/>
    <w:rsid w:val="00A46C45"/>
    <w:rsid w:val="00A72510"/>
    <w:rsid w:val="00AA02E3"/>
    <w:rsid w:val="00AB5F44"/>
    <w:rsid w:val="00AD79E4"/>
    <w:rsid w:val="00B37D21"/>
    <w:rsid w:val="00B62F7C"/>
    <w:rsid w:val="00B76784"/>
    <w:rsid w:val="00B91D70"/>
    <w:rsid w:val="00BA2EE6"/>
    <w:rsid w:val="00BB67CB"/>
    <w:rsid w:val="00BC01B8"/>
    <w:rsid w:val="00BC4A28"/>
    <w:rsid w:val="00BC5B58"/>
    <w:rsid w:val="00BD3CB7"/>
    <w:rsid w:val="00BE1B25"/>
    <w:rsid w:val="00C05230"/>
    <w:rsid w:val="00C0797A"/>
    <w:rsid w:val="00C236A1"/>
    <w:rsid w:val="00C33BC2"/>
    <w:rsid w:val="00C41069"/>
    <w:rsid w:val="00C578BC"/>
    <w:rsid w:val="00CD20D7"/>
    <w:rsid w:val="00CE23E0"/>
    <w:rsid w:val="00CE34DF"/>
    <w:rsid w:val="00CE6C26"/>
    <w:rsid w:val="00D071EF"/>
    <w:rsid w:val="00D15D5F"/>
    <w:rsid w:val="00D37D77"/>
    <w:rsid w:val="00D56DC1"/>
    <w:rsid w:val="00D73F51"/>
    <w:rsid w:val="00D87ABC"/>
    <w:rsid w:val="00DC0BC1"/>
    <w:rsid w:val="00DE5139"/>
    <w:rsid w:val="00DF0D95"/>
    <w:rsid w:val="00DF15D2"/>
    <w:rsid w:val="00DF511A"/>
    <w:rsid w:val="00E16B2B"/>
    <w:rsid w:val="00E24BDE"/>
    <w:rsid w:val="00E431E9"/>
    <w:rsid w:val="00E57A30"/>
    <w:rsid w:val="00E6746D"/>
    <w:rsid w:val="00EB4BBE"/>
    <w:rsid w:val="00EC43E9"/>
    <w:rsid w:val="00EF2049"/>
    <w:rsid w:val="00F10BF9"/>
    <w:rsid w:val="00F13086"/>
    <w:rsid w:val="00F25CD1"/>
    <w:rsid w:val="00F3419B"/>
    <w:rsid w:val="00F5553B"/>
    <w:rsid w:val="00F75013"/>
    <w:rsid w:val="00FB17E4"/>
    <w:rsid w:val="00FD230E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3419B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E57A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57A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57A3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7A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57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9814-6295-4AA7-827D-0A3CC0CE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Михаил Заболотнев</cp:lastModifiedBy>
  <cp:revision>42</cp:revision>
  <cp:lastPrinted>2024-10-04T09:17:00Z</cp:lastPrinted>
  <dcterms:created xsi:type="dcterms:W3CDTF">2018-08-10T08:22:00Z</dcterms:created>
  <dcterms:modified xsi:type="dcterms:W3CDTF">2024-12-18T14:52:00Z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