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tabs>
          <w:tab w:val="left" w:pos="175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B349D" w:rsidRDefault="00BB349D" w:rsidP="00BB349D">
      <w:pPr>
        <w:tabs>
          <w:tab w:val="left" w:pos="1753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признания (отказа в признании)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молодых семей, проживающих на территории 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жилых помещениях в целях участия в мероприятии по обеспечению жильем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молодых семей ведомственной целевой программы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«Оказание государственной поддержки гражданам в обеспечении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 Российской Федерации»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9D" w:rsidRDefault="00BB349D" w:rsidP="00BB34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 (в редакции постановления Правительства Российской Федерации от 15 июля 2020 года №1042), приказом Министерства топливно-энергетического комплекса и жилищно-коммунального хозяйства Краснодарского края от 25 мая 2018 года №195 «О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 и комфортным жильем и коммунальными услугами граждан Российской Федерации» (в редакции приказа Министерства топливно-энергетического комплекса и жилищно-коммунального хозяйства Краснодарского края от 30 августа 2019 года №426), руководствуясь статьями 16, 37 Федерального закона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октября 2003 года №131-ФЗ «Об общих принципах организации местного самоуправления в Российской Федерации» (в редакции Федерального закона от 20 июля 2020 года №241-ФЗ), статьями 8, 42, 72 Устава муниципального образования город-курорт Геленджик,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Порядок  признания (отказа в признании) молодых семей, проживающих на территории муниципального образования город-курорт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  <w:proofErr w:type="gramEnd"/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Определить правовое управление администрации муниципального образования город-курорт Геленджик органом, уполномоченным на осуществление действий по установлению наличия (отсутствия) законных оснований для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утратившими силу: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постановление администрации муниципального образования город-курорт Геленджик от 30 сентября 2014 года №2913 «Об утверждении Порядка признания (отказа в признании) молодых семей нуждающимися в жилых помещениях в целях участия в подпрограмме «Обеспечение жильем молодых семей» федеральной целевой программы «Жилище» на 2011-2015 годы на территории муниципального образования город-курорт Геленджик»;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2) постановление администрации муниципального образования город-курорт Геленджик от 14 марта 2016 года №769 «О внесении изменений в  постановление администрации муниципального образования город-курорт Геленджик от 30 сентября 2014 года №2913 «Об утверждении Порядка признания (отказа в признании) молодых семей нуждающимися в жилых помещениях в целях участия в подпрограмме «Обеспечение жильем молодых семей» федеральной целевой программы «Жилище» на 2011-2015 годы на территории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Геленджик».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исполняющего обязанности первого заместителя главы муниципального образования город-курорт Геленджик Е.Б. Василенко.</w:t>
      </w:r>
    </w:p>
    <w:p w:rsidR="00BB349D" w:rsidRDefault="00BB349D" w:rsidP="00BB34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Постановление вступает в силу со дня его официального опубликования.</w:t>
      </w:r>
    </w:p>
    <w:p w:rsidR="00BB349D" w:rsidRDefault="00BB349D" w:rsidP="00BB349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B349D" w:rsidRDefault="00BB349D" w:rsidP="00BB349D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B349D" w:rsidRDefault="00BB349D" w:rsidP="00BB349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BB349D" w:rsidRDefault="00BB349D" w:rsidP="00BB34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Богодистов</w:t>
      </w:r>
      <w:proofErr w:type="spellEnd"/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город-курорт Геленджик </w:t>
      </w:r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 №________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признания (отказа в признании)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семей, проживающих на территории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нуждающимися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жилых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помещениях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участия в мероприятии по обеспечению жильем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молодых семей ведомственной целевой программы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«Оказание государственной поддержки гражданам в обеспечении </w:t>
      </w:r>
    </w:p>
    <w:p w:rsidR="00BB349D" w:rsidRDefault="00BB349D" w:rsidP="00BB349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49D" w:rsidRDefault="00BB349D" w:rsidP="00BB34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Правовым управлением 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город-курорт Геленджик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/>
          <w:sz w:val="28"/>
          <w:szCs w:val="28"/>
        </w:rPr>
        <w:t>Гребеник</w:t>
      </w:r>
      <w:proofErr w:type="spellEnd"/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первого заместителя главы 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B349D" w:rsidRDefault="00BB349D" w:rsidP="00BB34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Е.Б. Василенко</w:t>
      </w:r>
    </w:p>
    <w:p w:rsidR="00BB349D" w:rsidRDefault="00BB349D" w:rsidP="00BB349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D1B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B349D" w:rsidRPr="00BB349D" w:rsidTr="008604DF">
        <w:tc>
          <w:tcPr>
            <w:tcW w:w="4785" w:type="dxa"/>
          </w:tcPr>
          <w:p w:rsidR="00BB349D" w:rsidRPr="00BB349D" w:rsidRDefault="00BB349D" w:rsidP="00BB349D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78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ПРИЛОЖЕНИЕ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УТВЕРЖДЕН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постановлением администрации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муниципального образования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город-курорт Геленджик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от ______________№__________</w:t>
            </w:r>
          </w:p>
        </w:tc>
      </w:tr>
    </w:tbl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ПОРЯДОК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признания (отказа в признании) молодых семей,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проживающих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на территории муниципального образования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город-курорт Геленджик,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жилых помещениях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в целях участия в мероприятии по обеспечению жильем молодых семей ведомственной целевой программы «Оказание государственной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поддержки гражданам в обеспечении жильем и оплате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жилищно-коммунальных услуг» государственной программы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Российской Федерации «Обеспечение доступным и комфортным жильем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и коммунальными услугами граждан Российской Федерации»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1.Общие положения</w:t>
      </w:r>
    </w:p>
    <w:p w:rsidR="00BB349D" w:rsidRPr="00BB349D" w:rsidRDefault="00BB349D" w:rsidP="00BB349D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1.1</w:t>
      </w:r>
      <w:r w:rsidRPr="00BB3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49D">
        <w:rPr>
          <w:rFonts w:ascii="Times New Roman" w:eastAsiaTheme="minorHAnsi" w:hAnsi="Times New Roman"/>
          <w:sz w:val="28"/>
          <w:szCs w:val="28"/>
        </w:rPr>
        <w:t>Порядок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(далее – Порядок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)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разработан в соответствии с Жилищным кодексом Российской Федерации, на основании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года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Порядка формирования списков молодых семей-участников мероприятия по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lastRenderedPageBreak/>
        <w:t>обеспечению жильем молодых семей, изъявивших желание получить социальную выплату в планируемом году, и списка молодых семей-претендентов на получение социальных выплат в соответствующем году, утвержденного приказом Министерства топливно-энергетического комплекса и жилищно-коммунального хозяйства Краснодарского края от 25 мая 2018 года №195 «О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услуг» государственной программы Российской Федерации «Обеспечение доступным  и комфортным жильем и коммунальными услугами граждан Российской Федерации».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1.2.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Порядок определяет последовательность действий при принятии решения о признании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услугами граждан Российской Федерации» (далее – Мероприятие).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1.3. Органом, уполномоченным на осуществление действий по установлению наличия (отсутствия) законных оснований для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 Мероприятии, является правовое управление администрации муниципального образования город-курорт Геленджик (далее – Управление).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 Порядок действий по признанию (отказу в признании) </w:t>
      </w:r>
    </w:p>
    <w:p w:rsidR="00BB349D" w:rsidRPr="00BB349D" w:rsidRDefault="00BB349D" w:rsidP="00BB349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молодых семей, проживающих на территории муниципального образования город-курорт Геленджик,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в жилых помещениях в целях участия в Мероприятии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2.1. Для рассмотрения вопроса о признании молодой семьи, проживающей на территории муниципального образования город-курорт Геленджик, нуждающейся в жилом помещении в целях участия в Мероприятии, молодая семья обращается в Управление с заявлением по форме согласно приложению №1 к настоящему Порядку (далее – заявление) с приложением документов, предусмотренных пунктом 2.2 настоящего Порядка. В заявление должны быть включены все члены молодой семьи, проживающие на территории муниципального образования город-курорт Геленджик.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2.2. В целях признания молодой семьи нуждающейся в жилом помещении к заявлению прилагаются следующие документы: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1) паспорт гражданина Российской Федерации;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2) свидетельства о государственной регистрации актов гражданского состояния: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свидетельства о рождении (независимо от возраста) всех членов семьи;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свидетельство о заключении (расторжении) брака  (при наличии);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3) выписк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а(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и) из лицевого счета жилого(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помещения(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ий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), принадлежащего(их) и (или) принадлежавшего(их) в течение последних пяти лет гражданину и (или) членам его семьи на праве собственности, фактически занимаемого(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в течение последних пяти лет гражданином и (или) членами его семьи, составленная(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не ранее чем за два месяца до даты представления ее(их) в Управление;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4) правоустанавливающие и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правоудостоверяющие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 xml:space="preserve"> документы гражданина и (или) членов его семьи на занимаемо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е(</w:t>
      </w:r>
      <w:proofErr w:type="spellStart"/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ые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и принадлежащее(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ие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на праве собственности жилое(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помещение(я);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5) 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об имеющихся (имевшихся) на праве собственности или ином подлежащем государственной регистрации праве, жилог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о(</w:t>
      </w:r>
      <w:proofErr w:type="spellStart"/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помещения(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ий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и (или) земельного(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участка(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), выделенного(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для строительства жилого(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дома(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), составленные не ранее чем за 2 месяца до даты обращения, на всех членов семьи, в том числе на добрачную фамилию (не требуется представление справки из органа, осуществляющего технический учет жилищного фонда, в отношении граждан, родившихся позже 2000 года).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В случае проживания молодой семьи в течение последних пяти лет за пределами муниципального образования город-курорт Геленджик молодой семьей представляются справки из органа, осуществляющего технический учет жилищного фонда, с предыдущего места жительства.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Справки из органа, осуществляющего государственную регистрацию прав на недвижимое имущество и сделок с ним, об имеющихся (имевшихся) на праве собственности или ином подлежащем государственной регистрации праве, жилог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о(</w:t>
      </w:r>
      <w:proofErr w:type="spellStart"/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помещения(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ий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и(или) земельного(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участка(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), выделенного(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для строительства жилого(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дома(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), запрашиваются Управлением самостоятельно, если такие документы не были представлены заявителем по собственной инициативе;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6) технический паспорт жилого помещения по месту жительства гражданина и членов его семьи, и технически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ие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паспорт(а) на жилое(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ые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помещение(я), принадлежащее(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ие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>) гражданину и (или) членам его семьи на праве собственности. Технический паспорт жилого помещения должен быть составлен по состоянию на дату не ранее пяти лет до даты представления его в Управление либо должен содержать отметку органа технической инвентаризации о проведении технической инвентаризации жилого помещения в течение пяти лет.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Требование о предоставлении технического паспорта жилого помещения не распространяется на граждан, занимающих жилые помещения по договорам найма специализированного жилого помещения, договорам найма жилого </w:t>
      </w: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помещения жилищного фонда коммерческого использования, договорам поднайма жилого помещения жилищного фонда социального использования, договорам безвозмездного пользования жилым помещением индивидуального жилищного фонда;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7) соглашение об определении порядка пользования жилым помещением в случае наличия общей долевой собственности и самостоятельного выхода на земельный участок;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8) договор найма (поднайма, безвозмездного пользования) жилого помещения (при наличии);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9) решение о признании жилого помещения непригодным для проживания и (или) о признании многоквартирного дома аварийным и подлежащим сносу или реконструкции (при наличии);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10) справка, подтверждающая тяжелую форму хронического заболевания согласно перечню, утвержденному</w:t>
      </w:r>
      <w:r w:rsidRPr="00BB3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B349D">
        <w:rPr>
          <w:rFonts w:ascii="Times New Roman" w:eastAsiaTheme="minorHAnsi" w:hAnsi="Times New Roman"/>
          <w:sz w:val="28"/>
          <w:szCs w:val="28"/>
        </w:rPr>
        <w:t>приказом Министерства здравоохранения Российской Федерации от 29 ноября 2012 года №987н «Об утверждении перечня тяжелых форм хронических заболеваний, при которых невозможно совместное проживание граждан в одной квартире» (при наличии).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2.3. Документы, указанные в подпунктах 1, 2, 4, 6 -10 пункта 2.2 раздела 2 настоящего Порядка, представляются в оригиналах с одновременным представлением копий. Копии документов после проверки соответствия оригиналу заверяются специалистом, принимающим документы, оригиналы документов возвращаются заявителю.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2.4. Заявление в день поступления регистрируется в книге регистрации заявлений о признании молодых семей, проживающих на территории  муниципального образования город-курорт Геленджик,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жилых помещениях в целях участия в Мероприятии, которая ведется Управлением  по форме согласно приложению № 2 к настоящему Порядку.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2.5. Специалист Управления, осуществляющий прием и регистрацию заявления, оформляет расписку в принятии документов по форме согласно приложению № 3 к настоящему Порядку и выдает ее заявителю.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2.6. Срок рассмотрения заявления о признании молодой семьи нуждающейся в жилом помещении составляет не более 20 рабочих дней со дня поступления заявления и всех необходимых документов (представленных и полученных по межведомственным запросам). 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2.7.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Признание молодой семьи нуждающейся в жилом помещении осуществляется по основаниям, установленным статьей 51 Жилищного кодекса Российской Федерации, в соответствии со статьями 53, 54 Жилищного кодекса Российской Федерации и статьей 9 Закона Краснодарского края от 29 декабря 2008 года № 1655-КЗ «О порядке ведения органами местного самоуправления учета граждан в качестве нуждающихся в жилых помещениях».</w:t>
      </w:r>
      <w:proofErr w:type="gramEnd"/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2.8. Определение уровня обеспеченности общей площадью жилого помещения молодой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семьи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целях признания ее нуждающейся в жилом помещении производится в соответствии со статьей 6 Закона Краснодарского края от 29 декабря 2008 года № 1655-КЗ «О порядке ведения органами местного самоуправления учета граждан в качестве нуждающихся в жилых </w:t>
      </w: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помещениях», с применением учетной нормы площади жилого помещения, установленной решением Думы муниципального образования город-курорт Геленджик от 18 ноября 2005 года № 154 «Об установлении нормы предоставления жилого помещения по договору социального найма и учетной нормы площади жилого помещения».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2.9. Основания для отказа в признании молодой семьи нуждающейся в жилом помещении: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1) не представлены  в полном объеме документы, предусмотренные  пунктом 2.2  настоящего Порядка,  обязанность по представлению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 возложена на заявителя;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2)  представлены документы, которые не подтверждают право молодой семьи быть признанной нуждающейся в жилом помещении;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3) не истек предусмотренный статьей 53 Жилищного кодекса Российской Федерации срок;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4) несоответствие критериям молодой семьи по возрасту.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2.10. Признание (отказ в признании) молодой семьи нуждающейся в жилом помещении оформляется в форме уведомления гражданина о наличии (отсутствии) у него предусмотренных законодательством оснований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признания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нуждающимся в жилом помещении (далее - Уведомление) по форме, утвержденной приказом департамента жилищно-коммунального хозяйства Краснодарского края от 18 ноября 2015 года №203 «Об организации учета в качестве нуждающихся в жилых помещениях малоимущих граждан и граждан отдельных категорий», за подписью первого заместителя главы муниципального образования город-курорт Геленджик.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2.11.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Уведомление регистрируется в книге учета выданных молодым семьям уведомлений о наличии (отсутствии) предусмотренных законодательством оснований признания нуждающимися в жилых помещениях, которая ведется Управлением  по форме согласно приложению №4 к настоящему Порядку, и в течение 3 рабочих дней, следующих за днем принятия решения, выдается заявителю под роспись или направляется заказным письмом с уведомлением о вручении.</w:t>
      </w:r>
      <w:proofErr w:type="gramEnd"/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 Порядок обжалования действий и решений по вопросу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признания молодых семей, проживающих на территории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муниципального образования город-курорт Геленджик, 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жилых помещениях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в целях участия в Мероприятии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       3.1. Заявители имеют право на обжалование решений и действий (бездействия) по вопросу признания молодых семей, проживающих на территории муниципального образования город-курорт Геленджик, 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жилых помещениях в целях участия в Мероприятии: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       во внесудебном порядке (далее - досудебное (внесудебное) обжалование) путем подачи соответствующего заявления в администрацию муниципального образования город-курорт Геленджик;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в судебном порядке.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3.2. Предметом досудебного (внесудебного) обжалования являются: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1) нарушение срока регистрации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заявления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о признании молодой семьи   нуждающейся в жилом помещении;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2) нарушение срока рассмотрения заявления;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3) требование у заявителя документов, не предусмотренных Порядком;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4) отказ в приеме документов у заявителя, если основания для отказа не предусмотрены Порядком.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3.3. Жалоба может быть направлена по почте, с использованием информационно-телекоммуникационной сети Интернет, а также может быть принята при личном приеме заявителя.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3.4. Жалоба должна содержать: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1) фамилию, имя, отчество (последнее - при наличии), адрес электронной почты или почтовый адрес, по которому должен быть направлен ответ заявителю;</w:t>
      </w:r>
      <w:proofErr w:type="gramEnd"/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2) сведения об обжалуемых решениях, принятых Управлением, и действиях (бездействии) должностных лиц, муниципальных служащих;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3) доводы, на основании которых заявитель не согласен с решением, принятым Управлением, и действием (бездействием) должностного лица, муниципального служащего.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Заявителем могут быть представлены документы (при наличии), подтверждающие доводы, содержащиеся в жалобе, либо их копии.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3.5. Жалоба подлежит рассмотрению в течение 30 дней со дня ее регистрации.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3.6. По результатам рассмотрения жалобы принимается одно из следующих решений: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1) об удовлетворении жалобы;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2) об отказе в удовлетворении жалобы.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3.7. Не позднее дня, следующего за днем принятия решения по итогам рассмотрения жалобы, 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3.8. В  случае несогласия с  решением, принятым по жалобе,  оно  может быть обжаловано членами молодой семьи или их законными представителями в судебном порядке.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Начальник правового управления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Гребеник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Default="00BB349D"/>
    <w:p w:rsidR="00BB349D" w:rsidRDefault="00BB3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B349D" w:rsidRPr="00BB349D" w:rsidTr="008604DF">
        <w:tc>
          <w:tcPr>
            <w:tcW w:w="436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ПРИЛОЖЕНИЕ №1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</w:tbl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Theme="minorHAnsi" w:eastAsiaTheme="minorHAnsi" w:hAnsiTheme="minorHAnsi" w:cstheme="minorBidi"/>
          <w:sz w:val="28"/>
          <w:szCs w:val="28"/>
        </w:rPr>
        <w:br/>
      </w:r>
      <w:r w:rsidRPr="00BB349D">
        <w:rPr>
          <w:rFonts w:ascii="Times New Roman" w:eastAsiaTheme="minorHAnsi" w:hAnsi="Times New Roman"/>
          <w:b/>
          <w:bCs/>
          <w:sz w:val="28"/>
          <w:szCs w:val="28"/>
        </w:rPr>
        <w:t>ЗАЯВЛЕНИЕ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b/>
          <w:bCs/>
          <w:sz w:val="28"/>
          <w:szCs w:val="28"/>
        </w:rPr>
        <w:t>о выдаче  уведомления о наличии (отсутствии) у гражданина</w:t>
      </w:r>
      <w:r w:rsidRPr="00BB349D">
        <w:rPr>
          <w:rFonts w:ascii="Times New Roman" w:eastAsiaTheme="minorHAnsi" w:hAnsi="Times New Roman"/>
          <w:sz w:val="28"/>
          <w:szCs w:val="28"/>
        </w:rPr>
        <w:t xml:space="preserve">  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b/>
          <w:bCs/>
          <w:sz w:val="28"/>
          <w:szCs w:val="28"/>
        </w:rPr>
        <w:t>предусмотренных законодательством оснований признания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b/>
          <w:bCs/>
          <w:sz w:val="28"/>
          <w:szCs w:val="28"/>
        </w:rPr>
        <w:t>нуждающимся</w:t>
      </w:r>
      <w:proofErr w:type="gramEnd"/>
      <w:r w:rsidRPr="00BB349D">
        <w:rPr>
          <w:rFonts w:ascii="Times New Roman" w:eastAsiaTheme="minorHAnsi" w:hAnsi="Times New Roman"/>
          <w:b/>
          <w:bCs/>
          <w:sz w:val="28"/>
          <w:szCs w:val="28"/>
        </w:rPr>
        <w:t xml:space="preserve"> в жилом помещении</w:t>
      </w:r>
    </w:p>
    <w:p w:rsidR="00BB349D" w:rsidRPr="00BB349D" w:rsidRDefault="00BB349D" w:rsidP="00BB349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                                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Главе муниципального образования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город-курорт Геленджик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_________________________________________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от  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                        (фамилия)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_________________________________________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                               (имя)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_______________________________________,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                          (отчество)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зарегистрированног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ой) по месту жительства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по адресу: 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(почтовый индекс, населенный пункт,</w:t>
      </w:r>
      <w:r w:rsidRPr="00BB349D">
        <w:rPr>
          <w:rFonts w:ascii="Times New Roman" w:eastAsiaTheme="minorHAnsi" w:hAnsi="Times New Roman"/>
          <w:sz w:val="24"/>
          <w:szCs w:val="24"/>
        </w:rPr>
        <w:br/>
      </w:r>
      <w:r w:rsidRPr="00BB349D">
        <w:rPr>
          <w:rFonts w:ascii="Times New Roman" w:eastAsiaTheme="minorHAnsi" w:hAnsi="Times New Roman"/>
          <w:sz w:val="28"/>
          <w:szCs w:val="28"/>
        </w:rPr>
        <w:t>                                                 ________________________________________,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               улица, номер дома, корпуса, квартиры)</w:t>
      </w:r>
      <w:r w:rsidRPr="00BB349D">
        <w:rPr>
          <w:rFonts w:ascii="Times New Roman" w:eastAsiaTheme="minorHAnsi" w:hAnsi="Times New Roman"/>
          <w:sz w:val="24"/>
          <w:szCs w:val="24"/>
        </w:rPr>
        <w:br/>
      </w:r>
      <w:r w:rsidRPr="00BB349D">
        <w:rPr>
          <w:rFonts w:ascii="Times New Roman" w:eastAsiaTheme="minorHAnsi" w:hAnsi="Times New Roman"/>
          <w:sz w:val="28"/>
          <w:szCs w:val="28"/>
        </w:rPr>
        <w:t>                                                _________________________________________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номера телефонов: домашнего ______________,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мобильного __________, рабочего 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 xml:space="preserve"> 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Прошу  Вас  выдать  мне  уведомление о наличии у меня (и членов моей семьи) предусмотренных законодательством оснований признания нуждающимс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я(</w:t>
      </w:r>
      <w:proofErr w:type="spellStart"/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мися</w:t>
      </w:r>
      <w:proofErr w:type="spellEnd"/>
      <w:r w:rsidRPr="00BB349D">
        <w:rPr>
          <w:rFonts w:ascii="Times New Roman" w:eastAsiaTheme="minorHAnsi" w:hAnsi="Times New Roman"/>
          <w:sz w:val="28"/>
          <w:szCs w:val="28"/>
        </w:rPr>
        <w:t xml:space="preserve">) в жилом помещении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 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672"/>
        <w:gridCol w:w="2014"/>
        <w:gridCol w:w="2551"/>
      </w:tblGrid>
      <w:tr w:rsidR="00BB349D" w:rsidRPr="00BB349D" w:rsidTr="008604DF">
        <w:tc>
          <w:tcPr>
            <w:tcW w:w="817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(полностью) заявителя и членов его семьи</w:t>
            </w:r>
          </w:p>
        </w:tc>
        <w:tc>
          <w:tcPr>
            <w:tcW w:w="1672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201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Родственные отношения членов семьи по отношению к заявителю</w:t>
            </w:r>
          </w:p>
        </w:tc>
        <w:tc>
          <w:tcPr>
            <w:tcW w:w="2551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BB349D" w:rsidRPr="00BB349D" w:rsidTr="008604DF">
        <w:tc>
          <w:tcPr>
            <w:tcW w:w="817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01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BB349D" w:rsidRPr="00BB349D" w:rsidTr="008604DF">
        <w:tc>
          <w:tcPr>
            <w:tcW w:w="817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B349D" w:rsidRPr="00BB349D" w:rsidTr="008604DF">
        <w:tc>
          <w:tcPr>
            <w:tcW w:w="817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   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Я (и вышеуказанные дееспособные члены моей семьи) даю (даем) согласие на получение уполномоченным органом любых данных, необходимых для проверки представленных мною сведений и восполнения отсутствующей информации, от соответствующих федеральных, краевых органов государственной власти и органов местного самоуправления, организаций всех форм собственности, а также на обработку и использование моих (наших) персональных данных.</w:t>
      </w:r>
      <w:proofErr w:type="gramEnd"/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Я (мы) предупрежде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н(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>ы) о последствиях, наступающих при выявлении в представленных документах сведений, не соответствующих действительности, а также об ответственности, предусмотренной статьей 327 Уголовного кодекса Российской Федерации, за подделку документов.  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 Приложение: ______ документов, необходимых для рассмотрения заявления, на ______ листах.</w:t>
      </w: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br/>
        <w:t>     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                                        Подписи заявителя и всех дееспособных членов его семьи</w:t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________________________________________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(Ф.И.О.)</w:t>
      </w:r>
      <w:r w:rsidRPr="00BB349D">
        <w:rPr>
          <w:rFonts w:ascii="Times New Roman" w:eastAsiaTheme="minorHAnsi" w:hAnsi="Times New Roman"/>
          <w:sz w:val="24"/>
          <w:szCs w:val="24"/>
        </w:rPr>
        <w:br/>
      </w:r>
      <w:r w:rsidRPr="00BB349D">
        <w:rPr>
          <w:rFonts w:ascii="Times New Roman" w:eastAsiaTheme="minorHAnsi" w:hAnsi="Times New Roman"/>
          <w:sz w:val="28"/>
          <w:szCs w:val="28"/>
        </w:rPr>
        <w:t>                                            ________________________________________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sz w:val="28"/>
          <w:szCs w:val="28"/>
        </w:rPr>
        <w:br/>
        <w:t>                                             «____»___________________________г.</w:t>
      </w:r>
    </w:p>
    <w:p w:rsidR="00BB349D" w:rsidRPr="00BB349D" w:rsidRDefault="00BB349D" w:rsidP="00BB349D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Начальник правового управления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Гребеник</w:t>
      </w:r>
      <w:proofErr w:type="spellEnd"/>
    </w:p>
    <w:p w:rsidR="00BB349D" w:rsidRPr="00BB349D" w:rsidRDefault="00BB349D" w:rsidP="00BB349D">
      <w:pPr>
        <w:spacing w:after="0" w:line="240" w:lineRule="auto"/>
        <w:ind w:firstLine="709"/>
        <w:jc w:val="right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BB349D">
        <w:rPr>
          <w:rFonts w:ascii="Times New Roman" w:eastAsiaTheme="minorHAnsi" w:hAnsi="Times New Roman"/>
          <w:sz w:val="28"/>
          <w:szCs w:val="28"/>
        </w:rPr>
        <w:br/>
      </w:r>
      <w:r w:rsidRPr="00BB349D">
        <w:rPr>
          <w:rFonts w:ascii="Times New Roman" w:eastAsiaTheme="minorHAnsi" w:hAnsi="Times New Roman"/>
          <w:sz w:val="28"/>
          <w:szCs w:val="28"/>
        </w:rPr>
        <w:br/>
      </w:r>
    </w:p>
    <w:p w:rsidR="00BB349D" w:rsidRDefault="00BB3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B349D" w:rsidRPr="00BB349D" w:rsidTr="008604DF">
        <w:tc>
          <w:tcPr>
            <w:tcW w:w="436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ПРИЛОЖЕНИЕ №2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</w:tbl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</w:t>
      </w: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B349D">
        <w:rPr>
          <w:rFonts w:ascii="Times New Roman" w:eastAsiaTheme="minorHAnsi" w:hAnsi="Times New Roman"/>
          <w:b/>
          <w:sz w:val="28"/>
          <w:szCs w:val="28"/>
        </w:rPr>
        <w:t>КНИГА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регистрации заявлений о признании  молодых семей, проживающих на территории муниципального образования город-курорт Геленджик,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нуждающимися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в жилых помещениях в целях участия  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1984"/>
        <w:gridCol w:w="3119"/>
        <w:gridCol w:w="1701"/>
        <w:gridCol w:w="2295"/>
      </w:tblGrid>
      <w:tr w:rsidR="00BB349D" w:rsidRPr="00BB349D" w:rsidTr="008604DF">
        <w:tc>
          <w:tcPr>
            <w:tcW w:w="540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Дата подачи заявления</w:t>
            </w:r>
          </w:p>
        </w:tc>
        <w:tc>
          <w:tcPr>
            <w:tcW w:w="3119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1701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Состав семьи (чел.)</w:t>
            </w:r>
          </w:p>
        </w:tc>
        <w:tc>
          <w:tcPr>
            <w:tcW w:w="2295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Адрес места жительства</w:t>
            </w:r>
          </w:p>
        </w:tc>
      </w:tr>
      <w:tr w:rsidR="00BB349D" w:rsidRPr="00BB349D" w:rsidTr="008604DF">
        <w:tc>
          <w:tcPr>
            <w:tcW w:w="540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B349D" w:rsidRPr="00BB349D" w:rsidTr="008604DF">
        <w:tc>
          <w:tcPr>
            <w:tcW w:w="540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Начальник правового управления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Гребеник</w:t>
      </w:r>
      <w:proofErr w:type="spellEnd"/>
    </w:p>
    <w:p w:rsidR="00BB349D" w:rsidRPr="00BB349D" w:rsidRDefault="00BB349D" w:rsidP="00BB349D">
      <w:pPr>
        <w:spacing w:after="0"/>
        <w:rPr>
          <w:rFonts w:ascii="Times New Roman" w:eastAsiaTheme="minorHAnsi" w:hAnsi="Times New Roman"/>
          <w:sz w:val="28"/>
          <w:szCs w:val="28"/>
        </w:rPr>
      </w:pPr>
    </w:p>
    <w:p w:rsidR="00BB349D" w:rsidRDefault="00BB349D"/>
    <w:p w:rsidR="00BB349D" w:rsidRDefault="00BB349D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B349D" w:rsidRPr="00BB349D" w:rsidTr="008604DF">
        <w:tc>
          <w:tcPr>
            <w:tcW w:w="436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ПРИЛОЖЕНИЕ №3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</w:tbl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B349D">
        <w:rPr>
          <w:rFonts w:ascii="Times New Roman" w:eastAsiaTheme="minorHAnsi" w:hAnsi="Times New Roman"/>
          <w:b/>
          <w:sz w:val="28"/>
          <w:szCs w:val="28"/>
        </w:rPr>
        <w:t>РАСПИСКА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в принятии уполномоченным органом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от гражданина необходимых документов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       От гражданина</w:t>
      </w:r>
    </w:p>
    <w:p w:rsidR="00BB349D" w:rsidRPr="00BB349D" w:rsidRDefault="00BB349D" w:rsidP="00BB349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___________________________________________________________________,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B349D">
        <w:rPr>
          <w:rFonts w:ascii="Times New Roman" w:eastAsiaTheme="minorHAnsi" w:hAnsi="Times New Roman"/>
          <w:sz w:val="24"/>
          <w:szCs w:val="24"/>
        </w:rPr>
        <w:t>(Ф.И.О.)</w:t>
      </w:r>
    </w:p>
    <w:p w:rsidR="00BB349D" w:rsidRPr="00BB349D" w:rsidRDefault="00BB349D" w:rsidP="00BB349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>зарегистрированного по месту жительства по адресу:</w:t>
      </w:r>
    </w:p>
    <w:p w:rsidR="00BB349D" w:rsidRPr="00BB349D" w:rsidRDefault="00BB349D" w:rsidP="00BB349D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___________________________________________________________________,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« _____» ___________ г. получены следующие документы для рассмотрения его заявления о выдаче уведомления о наличии (отсутствии) у него предусмотренных законодательством оснований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признания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нуждающимся в жилом помещении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Федерации»: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2010"/>
        <w:gridCol w:w="1337"/>
        <w:gridCol w:w="953"/>
        <w:gridCol w:w="1337"/>
        <w:gridCol w:w="944"/>
        <w:gridCol w:w="2354"/>
      </w:tblGrid>
      <w:tr w:rsidR="00BB349D" w:rsidRPr="00BB349D" w:rsidTr="008604DF">
        <w:tc>
          <w:tcPr>
            <w:tcW w:w="934" w:type="dxa"/>
          </w:tcPr>
          <w:p w:rsidR="00BB349D" w:rsidRPr="00BB349D" w:rsidRDefault="00BB349D" w:rsidP="00BB349D">
            <w:pPr>
              <w:ind w:right="3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BB349D" w:rsidRPr="00BB349D" w:rsidRDefault="00BB349D" w:rsidP="00BB349D">
            <w:pPr>
              <w:ind w:right="34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Наименование и реквизиты документа</w:t>
            </w:r>
          </w:p>
        </w:tc>
        <w:tc>
          <w:tcPr>
            <w:tcW w:w="2010" w:type="dxa"/>
            <w:gridSpan w:val="2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Количество экземпляров (шт.)</w:t>
            </w:r>
          </w:p>
        </w:tc>
        <w:tc>
          <w:tcPr>
            <w:tcW w:w="1984" w:type="dxa"/>
            <w:gridSpan w:val="2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Количество листов (шт.)</w:t>
            </w: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BB349D" w:rsidRPr="00BB349D" w:rsidTr="008604DF">
        <w:tc>
          <w:tcPr>
            <w:tcW w:w="93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подлинник</w:t>
            </w:r>
          </w:p>
        </w:tc>
        <w:tc>
          <w:tcPr>
            <w:tcW w:w="1005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копия</w:t>
            </w:r>
          </w:p>
        </w:tc>
        <w:tc>
          <w:tcPr>
            <w:tcW w:w="992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подлинник</w:t>
            </w:r>
          </w:p>
        </w:tc>
        <w:tc>
          <w:tcPr>
            <w:tcW w:w="992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копия</w:t>
            </w: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349D" w:rsidRPr="00BB349D" w:rsidTr="008604DF">
        <w:tc>
          <w:tcPr>
            <w:tcW w:w="93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B349D" w:rsidRPr="00BB349D" w:rsidTr="008604DF">
        <w:tc>
          <w:tcPr>
            <w:tcW w:w="934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010" w:type="dxa"/>
            <w:gridSpan w:val="2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lastRenderedPageBreak/>
        <w:t>Должностное лицо         ______________________ _________________________</w:t>
      </w:r>
      <w:r w:rsidRPr="00BB349D">
        <w:rPr>
          <w:rFonts w:ascii="Times New Roman" w:eastAsiaTheme="minorHAnsi" w:hAnsi="Times New Roman"/>
          <w:sz w:val="28"/>
          <w:szCs w:val="28"/>
        </w:rPr>
        <w:br/>
        <w:t>уполномоченного органа          (подпись)                               (Ф.И.О.)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Начальник правового управления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Гребеник</w:t>
      </w:r>
      <w:proofErr w:type="spellEnd"/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p w:rsidR="00BB349D" w:rsidRDefault="00BB349D"/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5486"/>
      </w:tblGrid>
      <w:tr w:rsidR="00BB349D" w:rsidRPr="00BB349D" w:rsidTr="008604DF">
        <w:tc>
          <w:tcPr>
            <w:tcW w:w="4261" w:type="dxa"/>
          </w:tcPr>
          <w:p w:rsidR="00BB349D" w:rsidRPr="00BB349D" w:rsidRDefault="00BB349D" w:rsidP="00BB349D">
            <w:pPr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548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ПРИЛОЖЕНИЕ №4</w:t>
            </w:r>
          </w:p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proofErr w:type="gramStart"/>
            <w:r w:rsidRPr="00BB349D">
              <w:rPr>
                <w:rFonts w:ascii="Times New Roman" w:eastAsiaTheme="minorHAnsi" w:hAnsi="Times New Roman"/>
                <w:sz w:val="28"/>
                <w:szCs w:val="28"/>
              </w:rPr>
              <w:t>к Порядку признания (отказа в признании) молодых семей, проживающих на территории муниципального образования город-курорт Геленджик,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proofErr w:type="gramEnd"/>
          </w:p>
        </w:tc>
      </w:tr>
    </w:tbl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rPr>
          <w:rFonts w:asciiTheme="minorHAnsi" w:eastAsiaTheme="minorHAnsi" w:hAnsiTheme="minorHAnsi" w:cstheme="minorBidi"/>
        </w:rPr>
      </w:pP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proofErr w:type="gramStart"/>
      <w:r w:rsidRPr="00BB349D">
        <w:rPr>
          <w:rFonts w:ascii="Times New Roman" w:eastAsiaTheme="minorHAnsi" w:hAnsi="Times New Roman"/>
          <w:b/>
          <w:bCs/>
          <w:sz w:val="28"/>
          <w:szCs w:val="28"/>
        </w:rPr>
        <w:t>КНИГА</w:t>
      </w:r>
      <w:r w:rsidRPr="00BB349D">
        <w:rPr>
          <w:rFonts w:ascii="Times New Roman" w:eastAsiaTheme="minorHAnsi" w:hAnsi="Times New Roman"/>
          <w:sz w:val="28"/>
          <w:szCs w:val="28"/>
        </w:rPr>
        <w:br/>
        <w:t>учета выданных молодым семьям, проживающим на территории  муниципального образования город-курорт Геленджик, уведомлений о наличии (отсутствии) предусмотренных законодательством оснований признания нуждающимися в жилых помещениях в целях участия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</w:t>
      </w:r>
      <w:proofErr w:type="gramEnd"/>
      <w:r w:rsidRPr="00BB349D">
        <w:rPr>
          <w:rFonts w:ascii="Times New Roman" w:eastAsiaTheme="minorHAnsi" w:hAnsi="Times New Roman"/>
          <w:sz w:val="28"/>
          <w:szCs w:val="28"/>
        </w:rPr>
        <w:t xml:space="preserve"> граждан Российской Федерации»</w:t>
      </w:r>
    </w:p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2"/>
        <w:gridCol w:w="2116"/>
        <w:gridCol w:w="4185"/>
        <w:gridCol w:w="1280"/>
        <w:gridCol w:w="1354"/>
      </w:tblGrid>
      <w:tr w:rsidR="00BB349D" w:rsidRPr="00BB349D" w:rsidTr="008604DF">
        <w:tc>
          <w:tcPr>
            <w:tcW w:w="812" w:type="dxa"/>
            <w:vMerge w:val="restart"/>
            <w:vAlign w:val="center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proofErr w:type="gramStart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116" w:type="dxa"/>
            <w:vMerge w:val="restart"/>
            <w:vAlign w:val="center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185" w:type="dxa"/>
            <w:vMerge w:val="restart"/>
            <w:vAlign w:val="center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Фамилия, имя, отчество гражданина</w:t>
            </w:r>
          </w:p>
        </w:tc>
        <w:tc>
          <w:tcPr>
            <w:tcW w:w="2634" w:type="dxa"/>
            <w:gridSpan w:val="2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Дата выдачи уведомления</w:t>
            </w:r>
          </w:p>
        </w:tc>
      </w:tr>
      <w:tr w:rsidR="00BB349D" w:rsidRPr="00BB349D" w:rsidTr="008604DF">
        <w:tc>
          <w:tcPr>
            <w:tcW w:w="812" w:type="dxa"/>
            <w:vMerge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16" w:type="dxa"/>
            <w:vMerge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185" w:type="dxa"/>
            <w:vMerge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О наличии</w:t>
            </w:r>
          </w:p>
        </w:tc>
        <w:tc>
          <w:tcPr>
            <w:tcW w:w="135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Об отсутствии</w:t>
            </w:r>
          </w:p>
          <w:p w:rsidR="00BB349D" w:rsidRPr="00BB349D" w:rsidRDefault="00BB349D" w:rsidP="00BB349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B349D" w:rsidRPr="00BB349D" w:rsidTr="008604DF">
        <w:tc>
          <w:tcPr>
            <w:tcW w:w="812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4185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</w:tcPr>
          <w:p w:rsidR="00BB349D" w:rsidRPr="00BB349D" w:rsidRDefault="00BB349D" w:rsidP="00BB349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B349D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</w:tbl>
    <w:p w:rsidR="00BB349D" w:rsidRPr="00BB349D" w:rsidRDefault="00BB349D" w:rsidP="00BB349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Начальник правового управления </w:t>
      </w:r>
    </w:p>
    <w:p w:rsidR="00BB349D" w:rsidRPr="00BB349D" w:rsidRDefault="00BB349D" w:rsidP="00BB349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BB349D">
        <w:rPr>
          <w:rFonts w:ascii="Times New Roman" w:eastAsiaTheme="minorHAnsi" w:hAnsi="Times New Roman"/>
          <w:sz w:val="28"/>
          <w:szCs w:val="28"/>
        </w:rPr>
        <w:t>муниципального</w:t>
      </w:r>
      <w:proofErr w:type="gramEnd"/>
    </w:p>
    <w:p w:rsidR="00BB349D" w:rsidRPr="00BB349D" w:rsidRDefault="00BB349D" w:rsidP="00BB349D">
      <w:pPr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BB349D">
        <w:rPr>
          <w:rFonts w:ascii="Times New Roman" w:eastAsiaTheme="minorHAnsi" w:hAnsi="Times New Roman"/>
          <w:sz w:val="28"/>
          <w:szCs w:val="28"/>
        </w:rPr>
        <w:t xml:space="preserve">образования город-курорт Геленджик                                                И.В. </w:t>
      </w:r>
      <w:proofErr w:type="spellStart"/>
      <w:r w:rsidRPr="00BB349D">
        <w:rPr>
          <w:rFonts w:ascii="Times New Roman" w:eastAsiaTheme="minorHAnsi" w:hAnsi="Times New Roman"/>
          <w:sz w:val="28"/>
          <w:szCs w:val="28"/>
        </w:rPr>
        <w:t>Гребеник</w:t>
      </w:r>
      <w:bookmarkStart w:id="0" w:name="_GoBack"/>
      <w:bookmarkEnd w:id="0"/>
      <w:proofErr w:type="spellEnd"/>
    </w:p>
    <w:p w:rsidR="00BB349D" w:rsidRDefault="00BB349D"/>
    <w:p w:rsidR="00BB349D" w:rsidRDefault="00BB349D"/>
    <w:sectPr w:rsidR="00BB349D" w:rsidSect="00BB349D">
      <w:pgSz w:w="11906" w:h="16838"/>
      <w:pgMar w:top="1134" w:right="56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67"/>
    <w:rsid w:val="000B45A4"/>
    <w:rsid w:val="004C023C"/>
    <w:rsid w:val="00BB349D"/>
    <w:rsid w:val="00EA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3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4311</Words>
  <Characters>24575</Characters>
  <Application>Microsoft Office Word</Application>
  <DocSecurity>0</DocSecurity>
  <Lines>204</Lines>
  <Paragraphs>57</Paragraphs>
  <ScaleCrop>false</ScaleCrop>
  <Company/>
  <LinksUpToDate>false</LinksUpToDate>
  <CharactersWithSpaces>28829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pdn_opug</dc:creator>
  <cp:keywords/>
  <dc:description/>
  <cp:lastModifiedBy>pdn_opug</cp:lastModifiedBy>
  <cp:revision>2</cp:revision>
  <dcterms:created xsi:type="dcterms:W3CDTF">2020-09-15T08:12:00Z</dcterms:created>
  <dcterms:modified xsi:type="dcterms:W3CDTF">2020-09-15T08:16:00Z</dcterms:modified>
</cp:coreProperties>
</file>