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0"/>
    <w:bookmarkEnd w:id="1"/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муниципального 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 «</w:t>
      </w:r>
      <w:r w:rsidRPr="00427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4278BD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решения Думы муниципального образования</w:t>
      </w:r>
    </w:p>
    <w:p w:rsidR="009A51B0" w:rsidRPr="004278BD" w:rsidRDefault="00D67554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</w:t>
      </w:r>
      <w:r w:rsidR="0017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июля</w:t>
      </w:r>
      <w:r w:rsidR="00F50F06"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№10</w:t>
      </w:r>
      <w:r w:rsidR="0017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A51B0"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A51B0" w:rsidRPr="004278BD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1B0" w:rsidRPr="00D82050" w:rsidRDefault="009A51B0" w:rsidP="009A51B0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августа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образования город-курорт Геленджик от 21 июля 2023 года №647), статьями  8, 27,  70,  76,  80   Устава   муниципального  образования  город-курорт  Геленджик,  Дума  муниципал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 образования  город-курорт  Геленджик  р е ш и л а: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  город-курорт Геленджик  от  26 декабря 2023  года  № 30 «О  бюджете  мун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город-курорт  Геленджик  на  2024 год  и  на  план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период 2025 и 2026 годов» (в редакции решения Думы муниципального образов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2024 года №109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(прилагается).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дования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D82050" w:rsidTr="0039720A">
        <w:tc>
          <w:tcPr>
            <w:tcW w:w="5070" w:type="dxa"/>
          </w:tcPr>
          <w:p w:rsidR="009A51B0" w:rsidRPr="00D82050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D82050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D82050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B0" w:rsidRPr="00D82050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«О бюджете муниципального образования  город-курорт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</w:p>
    <w:p w:rsidR="009A51B0" w:rsidRPr="00D82050" w:rsidRDefault="00490D86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2024 года №109</w:t>
      </w:r>
      <w:r w:rsidR="009A51B0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720A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Богодистов</w:t>
            </w:r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Параскева</w:t>
            </w:r>
          </w:p>
        </w:tc>
      </w:tr>
      <w:tr w:rsidR="009A51B0" w:rsidRPr="00D82050" w:rsidTr="0039720A">
        <w:trPr>
          <w:trHeight w:val="1593"/>
        </w:trPr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Кулиничев</w:t>
            </w:r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С.В. Иванская</w:t>
            </w:r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9A51B0" w:rsidRPr="00D82050" w:rsidTr="0039720A">
        <w:trPr>
          <w:trHeight w:val="2165"/>
        </w:trPr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тран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 и сельскому хозяйству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D82050" w:rsidRDefault="009A51B0">
      <w:pPr>
        <w:sectPr w:rsidR="009A51B0" w:rsidRPr="00D82050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D82050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 __________ № ____</w:t>
            </w:r>
          </w:p>
        </w:tc>
      </w:tr>
    </w:tbl>
    <w:p w:rsidR="0004554A" w:rsidRPr="0037638E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D82050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D82050">
        <w:rPr>
          <w:rFonts w:ascii="Times New Roman" w:eastAsia="Georgia" w:hAnsi="Times New Roman" w:cs="Times New Roman"/>
          <w:sz w:val="28"/>
          <w:szCs w:val="28"/>
        </w:rPr>
        <w:t>,</w:t>
      </w:r>
      <w:r w:rsidRPr="00D82050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D82050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D82050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D82050">
        <w:rPr>
          <w:rFonts w:ascii="Times New Roman" w:hAnsi="Times New Roman" w:cs="Times New Roman"/>
          <w:sz w:val="28"/>
          <w:szCs w:val="28"/>
        </w:rPr>
        <w:t xml:space="preserve"> </w:t>
      </w:r>
      <w:r w:rsidR="005B3CD1" w:rsidRPr="00D82050">
        <w:rPr>
          <w:rFonts w:ascii="Times New Roman" w:hAnsi="Times New Roman" w:cs="Times New Roman"/>
          <w:sz w:val="28"/>
          <w:szCs w:val="28"/>
        </w:rPr>
        <w:t>от 26 декабря 2023 года №30</w:t>
      </w:r>
      <w:r w:rsidRPr="00D8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60" w:rsidRPr="00D82050" w:rsidRDefault="000675B7" w:rsidP="00792D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>«</w:t>
      </w:r>
      <w:r w:rsidR="00C229F7" w:rsidRPr="00D82050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787E04" w:rsidRPr="00D82050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316DBF" w:rsidRPr="00D82050" w:rsidRDefault="005B3CD1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>на 2024</w:t>
      </w:r>
      <w:r w:rsidR="00C229F7" w:rsidRPr="00D8205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D82050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C229F7" w:rsidRPr="00D8205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75B7" w:rsidRPr="00D82050">
        <w:rPr>
          <w:rFonts w:ascii="Times New Roman" w:hAnsi="Times New Roman" w:cs="Times New Roman"/>
          <w:sz w:val="28"/>
          <w:szCs w:val="28"/>
        </w:rPr>
        <w:t>»</w:t>
      </w:r>
      <w:r w:rsidR="009A0A6A" w:rsidRPr="00D8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FB" w:rsidRPr="00D82050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</w:p>
    <w:p w:rsidR="006B7BFB" w:rsidRPr="00D82050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3502B3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2024 года №109</w:t>
      </w:r>
      <w:r w:rsidRPr="00D82050">
        <w:rPr>
          <w:rFonts w:ascii="Times New Roman" w:hAnsi="Times New Roman" w:cs="Times New Roman"/>
          <w:sz w:val="28"/>
          <w:szCs w:val="28"/>
        </w:rPr>
        <w:t>)</w:t>
      </w:r>
    </w:p>
    <w:p w:rsidR="00403EA9" w:rsidRPr="00D82050" w:rsidRDefault="00403EA9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229F7" w:rsidRPr="00D82050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1. Пункт 1 изложить в следующей редакции:</w:t>
      </w:r>
    </w:p>
    <w:p w:rsidR="00C229F7" w:rsidRPr="00D82050" w:rsidRDefault="000675B7" w:rsidP="00CA6AB1">
      <w:pPr>
        <w:pStyle w:val="a3"/>
        <w:widowControl w:val="0"/>
      </w:pPr>
      <w:r w:rsidRPr="00D82050">
        <w:rPr>
          <w:rFonts w:eastAsia="Georgia"/>
          <w:szCs w:val="28"/>
        </w:rPr>
        <w:t>«</w:t>
      </w:r>
      <w:r w:rsidR="00C229F7" w:rsidRPr="00D82050">
        <w:rPr>
          <w:rFonts w:eastAsia="Georgia"/>
          <w:szCs w:val="28"/>
        </w:rPr>
        <w:t>1.</w:t>
      </w:r>
      <w:r w:rsidR="00C229F7" w:rsidRPr="00D82050"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D82050">
        <w:t>ленджик, местн</w:t>
      </w:r>
      <w:r w:rsidR="005B3CD1" w:rsidRPr="00D82050">
        <w:t>ый бюджет) на 2024</w:t>
      </w:r>
      <w:r w:rsidR="00C229F7" w:rsidRPr="00D82050">
        <w:t xml:space="preserve"> год: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в сумме </w:t>
      </w:r>
      <w:r w:rsidR="00ED5D72">
        <w:rPr>
          <w:rFonts w:ascii="Times New Roman" w:eastAsia="Times New Roman" w:hAnsi="Times New Roman" w:cs="Times New Roman"/>
          <w:sz w:val="28"/>
          <w:szCs w:val="20"/>
          <w:lang w:eastAsia="ru-RU"/>
        </w:rPr>
        <w:t>10 653 733,8</w:t>
      </w:r>
      <w:r w:rsidR="00AF2BCE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в сумме </w:t>
      </w:r>
      <w:r w:rsidR="00ED5D72">
        <w:rPr>
          <w:rFonts w:ascii="Times New Roman" w:eastAsia="Times New Roman" w:hAnsi="Times New Roman" w:cs="Times New Roman"/>
          <w:sz w:val="28"/>
          <w:szCs w:val="20"/>
          <w:lang w:eastAsia="ru-RU"/>
        </w:rPr>
        <w:t>11 514 710,7</w:t>
      </w:r>
      <w:r w:rsidR="000748B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F94E3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860 976,9</w:t>
      </w:r>
      <w:r w:rsidR="00AF2BCE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4E0E5F" w:rsidRPr="00D82050" w:rsidRDefault="004E0E5F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Пункт 2 изложить в следующей редакции:</w:t>
      </w:r>
    </w:p>
    <w:p w:rsidR="004E0E5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«2. Утвердить  основные  характеристики  бюджета  муниципального   образования город-курорт Геленджик на 2025 год и на 2026 год:</w:t>
      </w:r>
    </w:p>
    <w:p w:rsidR="004E0E5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2025  год в сумме </w:t>
      </w:r>
      <w:r w:rsidR="003502B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5 763 198,7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 2026 год в сумме </w:t>
      </w:r>
      <w:r w:rsidR="003502B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5 336 419,8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38249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2025  год в сумме  </w:t>
      </w:r>
      <w:r w:rsidR="003502B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5 673 198,7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437A5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="009304F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 453,1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2026 год в сумме </w:t>
      </w:r>
      <w:r w:rsidR="003502B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5 336 419,8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3502B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325 395,0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4E0E5F" w:rsidRPr="00D82050" w:rsidRDefault="0038249F" w:rsidP="0038249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2050">
        <w:rPr>
          <w:rFonts w:ascii="Times New Roman" w:hAnsi="Times New Roman"/>
          <w:sz w:val="28"/>
          <w:szCs w:val="20"/>
        </w:rPr>
        <w:t>3)</w:t>
      </w:r>
      <w:r w:rsidRPr="00D82050">
        <w:rPr>
          <w:rFonts w:ascii="Times New Roman" w:hAnsi="Times New Roman"/>
          <w:sz w:val="28"/>
          <w:szCs w:val="28"/>
        </w:rPr>
        <w:t>профицит  бюджета  на  2025 год в сумме 90 000,0 тыс. рублей, на    2026 год в сумме 0,0 тыс. рублей;</w:t>
      </w:r>
      <w:r w:rsidR="004E0E5F" w:rsidRPr="00D82050">
        <w:rPr>
          <w:rFonts w:ascii="Times New Roman" w:hAnsi="Times New Roman"/>
          <w:sz w:val="28"/>
          <w:szCs w:val="20"/>
        </w:rPr>
        <w:t>».</w:t>
      </w:r>
    </w:p>
    <w:p w:rsidR="003673E0" w:rsidRPr="00D82050" w:rsidRDefault="004E0E5F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F2BCE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D82050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5D6EA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2024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2025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муниципального образования город-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2024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2025 и 2026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E231AF" w:rsidRPr="00D82050" w:rsidRDefault="004E0E5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D82050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D6EA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D82050" w:rsidRDefault="004E0E5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B28B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D82050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5D6EAF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2025 и 2026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2024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и 2026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5644CB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:rsidR="007A12FC" w:rsidRDefault="007A12FC" w:rsidP="007A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6. В подпункте 2 пункта 11 слова «на 2024 год в сумме 68 996,7 тыс. ру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заменить словами «на 2024 год в сумме 69 251,</w:t>
      </w:r>
      <w:r w:rsidR="00AA0BD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</w:t>
      </w:r>
    </w:p>
    <w:p w:rsidR="006D7199" w:rsidRDefault="006D7199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7.Пункт 14 дополнить подпунктом 8 следующего содержания:</w:t>
      </w:r>
    </w:p>
    <w:p w:rsidR="006D7199" w:rsidRPr="00D710D1" w:rsidRDefault="006D7199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«8)</w:t>
      </w:r>
      <w:r w:rsidRPr="006D7199">
        <w:t xml:space="preserve"> </w:t>
      </w:r>
      <w:r w:rsidRPr="006D719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мероприятий по развитию коммунальной инфраструктуры в городе Геленджике путем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403EA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459D7" w:rsidRPr="00D82050" w:rsidRDefault="006D7199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D82050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D82050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D82050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D82050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D82050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D82050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D82050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D82050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</w:p>
        </w:tc>
      </w:tr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D82050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28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53"/>
        <w:gridCol w:w="2758"/>
        <w:gridCol w:w="361"/>
        <w:gridCol w:w="1127"/>
        <w:gridCol w:w="239"/>
        <w:gridCol w:w="1248"/>
        <w:gridCol w:w="118"/>
        <w:gridCol w:w="1367"/>
      </w:tblGrid>
      <w:tr w:rsidR="00830036" w:rsidRPr="00D82050" w:rsidTr="00ED5D72">
        <w:trPr>
          <w:cantSplit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</w:p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0036" w:rsidRPr="00D82050" w:rsidTr="00ED5D72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ED5D72" w:rsidRPr="00ED5D72" w:rsidTr="00ED5D72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Сумма</w:t>
            </w:r>
          </w:p>
        </w:tc>
      </w:tr>
      <w:tr w:rsidR="00ED5D72" w:rsidRPr="00ED5D72" w:rsidTr="00ED5D72">
        <w:trPr>
          <w:cantSplit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036" w:rsidRPr="00ED5D72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830036" w:rsidRPr="00ED5D72" w:rsidRDefault="00830036" w:rsidP="00830036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3118"/>
        <w:gridCol w:w="1366"/>
        <w:gridCol w:w="1366"/>
        <w:gridCol w:w="1366"/>
      </w:tblGrid>
      <w:tr w:rsidR="00ED5D72" w:rsidRPr="00ED5D72" w:rsidTr="00ED5D72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72" w:rsidRPr="00ED5D72" w:rsidRDefault="00ED5D72" w:rsidP="00ED5D7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72" w:rsidRPr="00ED5D72" w:rsidRDefault="00ED5D72" w:rsidP="00ED5D7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72" w:rsidRPr="00ED5D72" w:rsidRDefault="00ED5D72" w:rsidP="00ED5D7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72" w:rsidRPr="00ED5D72" w:rsidRDefault="00ED5D72" w:rsidP="00ED5D7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D72" w:rsidRPr="00ED5D72" w:rsidRDefault="00ED5D72" w:rsidP="00ED5D7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3 675 692,5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3 371 155,5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3 492 167,9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950 203,0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944 092,2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986 716,6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48 038,0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заций, зачисляемый в бюджеты бюджетной 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стемы Российской Федер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ции по соотве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48 038,0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заций (за исключением конс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налогоплательщиков),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субъектов Российской Ф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48 038,0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902 165,0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906 914,2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949 426,6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территории Российской Федер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32 502,5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товарам (продукции), пр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изводимым на территории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32 502,5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583 036,0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620 996,0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659 686,0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491 420,0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531 717,0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567 737,0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463,0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90 889,0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90 889,0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686 833,0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545 482,0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586 478,0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290 195,0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ческих лиц, взимаемый по ставкам, применяемым к объектам налогооблож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ния, расположенным в границах городских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290 195,0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39 316,0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38 661,0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40 594,0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357 322,0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227 323,0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230 051,0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22 544,0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22 372,0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22 595,0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824 065,6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796 851,6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806 745,6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питалах хозяйственных 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вариществ и обществ, или дивидендов по акциям, принадлежащим Росси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субъе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там 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 или муниципальным обр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1 929,9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питалах хозяйственных 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вариществ и обществ, или дивидендов по акциям, принадлежащим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1 929,9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 арендной либо иной платы за передачу в во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мездное пользование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и муниц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имущества (за исключением имущества бюджетных и автономных учреждений, а также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щества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678 721,6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637 423,6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637 143,6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 арендной платы за зе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ли после разграничения государственной собстве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ности на землю, а также средства от продажи права на закл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чение договоров аренды указанных земел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 (за исключ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642 064,0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 арендной платы, а также средства от продажи права на заключение договоров аренды за земли, наход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щиеся в собственности 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(за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участков муниц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642 064,0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внебюджетных фондов и созданных ими учреждений (за исключ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сдачи в аренду имущества, находящегося в оперативном управлении 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органов управления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и созданных ими учреждений (за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отношении земельных участков после разгран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чения государственной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заключенным органами мес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городских округов,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предприяти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ми либо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муниципальными учреждениями в отнош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участков, находящихся в собстве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шением уполномоченного органа об установлении публичного сервитута в отношении земельных участков, которые расп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ложены в границах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гов, находятся в 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федеральной собственн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сти и осуществление по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номочий Российской Ф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дерации по управлению и распоряж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нию которыми передано органам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сти субъектов Российской Федерации и не предоставлены гражд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нам или юридическим 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цам (за исключением орг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сти (государственных 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ганов), органов местного самоуправления (муниц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орг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внебюджетными фондами и казенных учр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3 833,0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тий, остающейся после уплаты налогов и обяз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3 833,0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ся после уплаты налогов и иных обязательных плат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жей муниципальных 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зданных городскими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3 833,0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 и прав, находящихся в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чением имущества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учреждений, а также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щества государственных и муниципальных унита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предприятий, в том числе казе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139 576,1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154 576,1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164 576,1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использования имущества, находящегося в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чением имущества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учреждений, а также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щества государственных и муниципальных унита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числе казе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использования имущества, находящегося в собстве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 (за исключением имущ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учреждений, а также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унитарных пре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ках договора за предоста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ление права на размещение и эксплуатацию нестаци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дарственная собственность на которые не разгранич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138 100,0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153 100,0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163 100,0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действие на окружающую ср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2 500,0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180 212,0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230 347,2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220 026,0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формационных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формационных услуг орг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нами местного самоупра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ления городских округов, казе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178 748,0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228 824,7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218 442,5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порядке возмещения ра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ходов, понесенных в связи с эксплуатацией имущ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порядке возмещения ра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ходов, понесенных в связи с эксплуатацией имущ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ства 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178 425,5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сации затрат бюджетов 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178 425,5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и нематериал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321 077,2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131 028,3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128 130,8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имущества, находящегося в государственной и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 (за исключением движим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 имущества бюджетных и авт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дарственных и муниц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88,9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1 14 02042 04 0000 440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имущества, находящегося в оперативном управлении учр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ждений, находящихся в ведении органов упра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ления городских округов (за исключением имущ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учреждений), в части ре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лизации материальных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пасов по указанному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щегося в собственности городских округов (за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бюджетных и автономных учреждений, а также имущества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унитарных предприятий, в том числе казенных), в части реал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80,9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дящихся в государстве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192 434,4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гос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дарственная собственность на которые разграничена (за исключением земел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 бюджетных и 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192 434,4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дящихся в собственности городских округов (за 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ключением земельных участков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авт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192 434,4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щади земельных участков, находящихся в частной собственности, в результ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те перераспределения 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ких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земель (или) земельных участков, находящихся в государственной или 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собственн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127 397,8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щади земельных участков, находящихся в частной собственности, в результ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те перераспределения 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ких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земел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 после разграничения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127 397,8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щади земельных участков, находящихся в частной собственности, в результ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те перераспределения 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ких 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и земельных участков, нах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дящихся в со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127 397,8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зации нефинансовых акт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1 156,1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щение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72 719,2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6 978 041,3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2 392 043,2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1 844 251,9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5 640 938,4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2 392 043,2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1 844 251,9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ской Ф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279 707,3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(межбю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2 960 299,1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729 413,1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110 158,8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1 670 889,1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1 526 313,2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1 608 565,8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730 042,9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ния от государственных (муниципальных) орган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988,1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(муниципал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ных) организаций в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жеты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988,1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1 325 785,4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1 325 785,4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от возвр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та остатков субсидий, су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венций и иных межбю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ющих целевое назнач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14 931,7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от возвр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 бюджетами бюджетной системы Российской Фед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рации остатков субсидий, субвенций и иных ме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бюдже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целевое назн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чение, прошлых лет, а также от возврата орган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зациями оста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14 931,7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от возврата бюджетными учреждени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5 932,7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от возврата автономными учрежден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2 396,6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от возврата иными организациями остатков субсидий пр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6 602,4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дий, субвенций и иных межбюджетных трансфе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тов, имеющих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-4 602,3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получа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щих начальное общее 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государстве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циях, из бюджетов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-1 916,5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ций на проведение мер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обеспечению деятельн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сти советников директора по воспитанию 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взаимодействию с де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в общео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циях из бюджетов горо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-183,7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ций на ежемесячное д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нежное вознаграждение за классное руководство п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дагогич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государственных и мун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из бюджетов городских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-1 130,7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шлых лет из бюджетов г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-1 371,4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ED5D7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5D72" w:rsidRPr="00ED5D72" w:rsidRDefault="00ED5D72" w:rsidP="00802595">
            <w:pPr>
              <w:spacing w:after="0" w:line="240" w:lineRule="auto"/>
              <w:ind w:left="125" w:right="124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D5D72" w:rsidRPr="00ED5D72" w:rsidTr="00ED5D7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72" w:rsidRPr="00ED5D72" w:rsidRDefault="00ED5D72" w:rsidP="00ED5D7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D72" w:rsidRPr="00ED5D72" w:rsidRDefault="00ED5D72" w:rsidP="00ED5D72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10 653 733,8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5 763 198,7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5D72" w:rsidRPr="00ED5D72" w:rsidRDefault="00ED5D72" w:rsidP="00ED5D7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ED5D7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5 336 419,8</w:t>
            </w:r>
          </w:p>
        </w:tc>
      </w:tr>
    </w:tbl>
    <w:p w:rsidR="006D7199" w:rsidRDefault="006D7199" w:rsidP="00830036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5"/>
        <w:gridCol w:w="1487"/>
        <w:gridCol w:w="1485"/>
      </w:tblGrid>
      <w:tr w:rsidR="00830036" w:rsidRPr="00830036" w:rsidTr="006B6B78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CA285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30036" w:rsidRPr="00D82050" w:rsidTr="006B6B78">
        <w:tc>
          <w:tcPr>
            <w:tcW w:w="9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036" w:rsidRPr="00D82050" w:rsidRDefault="00830036" w:rsidP="00372E97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830036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*По видам и подвидам доходов, входящим в  соответствующий группир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вочный код бюджетной классификации, зачисляемым в местные бюджеты в соответствии с законодательством Российской Федерации.</w:t>
            </w:r>
          </w:p>
        </w:tc>
      </w:tr>
    </w:tbl>
    <w:p w:rsidR="000C727A" w:rsidRPr="00802595" w:rsidRDefault="000C727A" w:rsidP="00AA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57"/>
        <w:gridCol w:w="658"/>
        <w:gridCol w:w="2326"/>
        <w:gridCol w:w="613"/>
        <w:gridCol w:w="820"/>
        <w:gridCol w:w="1433"/>
        <w:gridCol w:w="1431"/>
        <w:gridCol w:w="17"/>
      </w:tblGrid>
      <w:tr w:rsidR="00AA4893" w:rsidRPr="00D82050" w:rsidTr="00ED5D72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4893" w:rsidRPr="00D82050" w:rsidTr="00ED5D72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D82050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893" w:rsidRPr="00D82050" w:rsidTr="00ED5D72">
        <w:trPr>
          <w:gridBefore w:val="1"/>
          <w:wBefore w:w="17" w:type="dxa"/>
          <w:cantSplit/>
          <w:trHeight w:val="2189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</w:p>
          <w:p w:rsidR="00AA4893" w:rsidRPr="00D82050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D82050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</w:p>
        </w:tc>
      </w:tr>
      <w:tr w:rsidR="006B6B78" w:rsidRPr="00D82050" w:rsidTr="00ED5D72">
        <w:trPr>
          <w:gridAfter w:val="1"/>
          <w:wAfter w:w="17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595" w:rsidRDefault="00802595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Российской Федерации </w:t>
            </w:r>
          </w:p>
          <w:p w:rsidR="006B6B78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372E97" w:rsidRPr="00D82050" w:rsidRDefault="00372E97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6B6B78" w:rsidRPr="00D82050" w:rsidTr="00ED5D72">
        <w:trPr>
          <w:gridAfter w:val="1"/>
          <w:wAfter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B78" w:rsidRPr="00D82050" w:rsidRDefault="006B6B78" w:rsidP="006B6B78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B6B78" w:rsidRPr="00D82050" w:rsidTr="00ED5D72">
        <w:trPr>
          <w:gridAfter w:val="1"/>
          <w:wAfter w:w="17" w:type="dxa"/>
        </w:trPr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B6B78" w:rsidRPr="00D82050" w:rsidTr="00ED5D72">
        <w:trPr>
          <w:gridAfter w:val="1"/>
          <w:wAfter w:w="17" w:type="dxa"/>
        </w:trPr>
        <w:tc>
          <w:tcPr>
            <w:tcW w:w="23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37638E" w:rsidRPr="0037638E" w:rsidRDefault="0037638E" w:rsidP="0037638E">
      <w:pPr>
        <w:pStyle w:val="a7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6B6B78" w:rsidRPr="00D82050" w:rsidTr="0037638E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5 640 938,4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2 392 043,2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1 844 251,9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279 707,3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вание бюджетной обесп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поддержку мер по обесп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чению сбалансированности бю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60 450,3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60 450,3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2 02 19999 04 0000 150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(межбю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2 960 299,1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729 413,1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110 158,8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софинансирование кап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екты государственной (м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ниципальной) собственн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1 843 167,9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548 776,4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соф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нансирование капитальных вложений в объекты мун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1 843 167,9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548 776,4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муниципальных образов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79 248,8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низацию бесплатного 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вание в госуда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79 248,8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здание новых мест в общ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зациях в связи с ростом числа обучающихся, в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званным демографическим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D82050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D82050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ние новых мест в общео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ла обучающихся, вызва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ным демографическим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D82050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ления материально-технической базы домов культуры в населенных пунктах с чи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2 02 25470 00 0000 150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ликвидацию объектов накопленного вреда окр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среде, прошедших оценку воздействия на 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стояние окружающей ср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ды, здоровье и продолж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4 472,7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2 02 25470 04 0000 150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ликв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дацию объектов накопле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ного вреда окружающей среде, прошедших оценку возде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ствия на состояние окружающей среды, здор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вье и продолжительность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4 472,7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мероприятий по обеспечению жильем 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2 02 25786 00 0000 150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оснащения государственных и мун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в том числе структурных подра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делений указанных 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организаций, госуда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символами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2 02 25786 04 0000 150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оснащения гос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в том числе структурных подраздел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ний указанных организаций, госуда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символами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458 103,3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79 675,2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6 960,8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458 103,3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79 675,2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6 960,8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1 670 889,1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1 526 313,2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1 608 565,8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редаваемых полномочий субъектов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1 502 316,0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1 379 066,8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1 458 493,9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субъектов Ро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1 502 316,0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1 379 066,8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1 458 493,9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организ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ции, реализующие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пенсацию части платы, 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взимаемой с родителей (законных представителей) за присмотр и уход за детьми, посещающими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организ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ции, реализующие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14 445,8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попечения родителей, 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цам из их числа по догов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рам найма специализир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тям, оставшимся без поп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чения родителей, лицам из их числа по договорам найма специализирова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ных 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(изм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нению) списков кандид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тов в присяжные заседат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ли федеральных судов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щей юрисдикции в Росси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ности советников директ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 по воспитанию и вза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общественными объедин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ниями в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педагог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работникам гос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лизующих образовател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мы начального общего образования, обр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основного общего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среднего общ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79 213,7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начального общего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среднего общего 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79 213,7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ным бюджетам из бюджета субъекта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70 139,6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70 139,6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730 042,9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там на обеспечение выплат ежемесячного денежного вознаграждения советн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кам директоров по восп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танию и взаимодействию с де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госуда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профессиональных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организаций субъектов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г. Байконура и федеральной те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"Сириус", муниц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общеобразовательных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и професси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на обеспечение выплат еж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месячного денежного во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 советникам директ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взаимодействию с де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госуда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профессиональных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вательных организаций 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субъектов Российской Ф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г. Байконура и федеральной терр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тории "Сириус", муниц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общеобразовательных 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и професси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729 548,1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B6B78" w:rsidRPr="006B6B78" w:rsidTr="00D21882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6B78" w:rsidRPr="006B6B78" w:rsidRDefault="006B6B78" w:rsidP="00802595">
            <w:pPr>
              <w:spacing w:after="0" w:line="240" w:lineRule="auto"/>
              <w:ind w:left="36" w:right="79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729 548,1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6B78" w:rsidRPr="006B6B78" w:rsidRDefault="006B6B78" w:rsidP="006B6B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B6B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176B71" w:rsidRPr="00D82050" w:rsidRDefault="0084230F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D82050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D82050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D82050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D518D8" w:rsidRPr="00D82050">
        <w:rPr>
          <w:rFonts w:ascii="Times New Roman" w:eastAsia="Georgia" w:hAnsi="Times New Roman" w:cs="Times New Roman"/>
          <w:sz w:val="28"/>
          <w:szCs w:val="28"/>
        </w:rPr>
        <w:t>6</w:t>
      </w:r>
      <w:r w:rsidR="00AE445B" w:rsidRPr="00D82050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DA27F5" w:rsidRPr="00D82050" w:rsidRDefault="00DA27F5" w:rsidP="009321D1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D82050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0C727A" w:rsidP="00D518D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D518D8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D82050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D82050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D82050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4A2798" w:rsidRPr="00D82050" w:rsidRDefault="004A2798" w:rsidP="000459D7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2024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и 2026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предусмотренного </w:t>
            </w:r>
          </w:p>
          <w:p w:rsidR="00E4040E" w:rsidRPr="00D82050" w:rsidRDefault="000A0DD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4F02C1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-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4(</w:t>
            </w:r>
            <w:r w:rsidR="00D518D8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муниципального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2024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D82050" w:rsidRDefault="00A4002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2025 и 2026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D82050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4818"/>
        <w:gridCol w:w="516"/>
        <w:gridCol w:w="510"/>
        <w:gridCol w:w="1230"/>
        <w:gridCol w:w="1056"/>
        <w:gridCol w:w="1224"/>
      </w:tblGrid>
      <w:tr w:rsidR="008C1582" w:rsidRPr="008C1582" w:rsidTr="008C1582">
        <w:trPr>
          <w:cantSplit/>
        </w:trPr>
        <w:tc>
          <w:tcPr>
            <w:tcW w:w="534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80" w:type="dxa"/>
            <w:gridSpan w:val="2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(тыс.рублей)</w:t>
            </w:r>
          </w:p>
        </w:tc>
      </w:tr>
      <w:tr w:rsidR="008C1582" w:rsidRPr="008C1582" w:rsidTr="008C1582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8C1582" w:rsidRPr="008C1582" w:rsidTr="008C1582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8C1582" w:rsidRPr="008C1582" w:rsidRDefault="008C1582" w:rsidP="008C1582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4818"/>
        <w:gridCol w:w="516"/>
        <w:gridCol w:w="510"/>
        <w:gridCol w:w="1230"/>
        <w:gridCol w:w="1056"/>
        <w:gridCol w:w="1224"/>
      </w:tblGrid>
      <w:tr w:rsidR="008C1582" w:rsidRPr="008C1582" w:rsidTr="008C1582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8C1582" w:rsidRPr="008C1582" w:rsidTr="008C1582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294 100,6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32 546,3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21 243,2</w:t>
            </w:r>
          </w:p>
        </w:tc>
      </w:tr>
      <w:tr w:rsidR="008C1582" w:rsidRPr="008C1582" w:rsidTr="008C1582">
        <w:tc>
          <w:tcPr>
            <w:tcW w:w="534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16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20 375,4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ставительных) органов государственной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власти и представительных органов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образований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01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65,8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38 882,2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тельная деятельность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техногенн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-495,7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105 973,1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Жилищное хозяйство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59 256,5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46 635,2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64 127,2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20 435,8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21 243,2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27 794,2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24 381,3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19 995,0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20 796,2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13 931,6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товка и повышение квалификации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-366,2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97 836,0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97 836,0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2 870,1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2 779,8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12 110,5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1 663,7</w:t>
            </w: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5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5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51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056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122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lef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- 1 410,5»</w:t>
            </w:r>
          </w:p>
        </w:tc>
      </w:tr>
    </w:tbl>
    <w:p w:rsidR="00F03AF7" w:rsidRDefault="00F03AF7" w:rsidP="001C75D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4278BD" w:rsidTr="003915E9">
        <w:tc>
          <w:tcPr>
            <w:tcW w:w="81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4278BD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F18E5" w:rsidRDefault="0084230F" w:rsidP="009321D1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523F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AF18E5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D82050" w:rsidRPr="004278BD" w:rsidRDefault="00D82050" w:rsidP="009321D1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4278BD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67595C" w:rsidP="00D21882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D2188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8909F0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4278BD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532BC" w:rsidRPr="004278BD" w:rsidRDefault="00C532BC" w:rsidP="001C2C73">
      <w:pPr>
        <w:spacing w:after="0" w:line="226" w:lineRule="auto"/>
        <w:rPr>
          <w:rFonts w:ascii="Times New Roman" w:eastAsia="Georgia" w:hAnsi="Times New Roman" w:cs="Times New Roman"/>
          <w:sz w:val="2"/>
          <w:szCs w:val="2"/>
        </w:rPr>
      </w:pPr>
    </w:p>
    <w:p w:rsidR="00530425" w:rsidRPr="0013273B" w:rsidRDefault="00530425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44"/>
          <w:szCs w:val="44"/>
        </w:rPr>
      </w:pP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целевым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A40022" w:rsidRPr="004278BD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2024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4278BD" w:rsidRDefault="00A4002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и плановый период 2025 и 2026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годов, предусмотренного </w:t>
      </w:r>
    </w:p>
    <w:p w:rsidR="00C532BC" w:rsidRPr="004278BD" w:rsidRDefault="000A0DD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4F02C1" w:rsidRPr="004278BD">
        <w:rPr>
          <w:rFonts w:ascii="Times New Roman" w:eastAsia="Georgia" w:hAnsi="Times New Roman" w:cs="Times New Roman"/>
          <w:sz w:val="28"/>
          <w:szCs w:val="28"/>
        </w:rPr>
        <w:t xml:space="preserve"> -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5(</w:t>
      </w:r>
      <w:r w:rsidR="00D21882">
        <w:rPr>
          <w:rFonts w:ascii="Times New Roman" w:eastAsia="Georgia" w:hAnsi="Times New Roman" w:cs="Times New Roman"/>
          <w:sz w:val="28"/>
          <w:szCs w:val="28"/>
        </w:rPr>
        <w:t>5</w:t>
      </w:r>
      <w:r w:rsidRPr="004278BD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к решению Думы муниципального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4278BD" w:rsidRDefault="00A40022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на 2024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4278BD">
        <w:rPr>
          <w:rFonts w:ascii="Times New Roman" w:eastAsia="Georgia" w:hAnsi="Times New Roman" w:cs="Times New Roman"/>
          <w:sz w:val="28"/>
          <w:szCs w:val="28"/>
        </w:rPr>
        <w:t>а плановый период 2025 и 2026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4278BD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40"/>
          <w:szCs w:val="40"/>
        </w:rPr>
      </w:pPr>
    </w:p>
    <w:tbl>
      <w:tblPr>
        <w:tblW w:w="9888" w:type="dxa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3969"/>
        <w:gridCol w:w="1559"/>
        <w:gridCol w:w="567"/>
        <w:gridCol w:w="1134"/>
        <w:gridCol w:w="1134"/>
        <w:gridCol w:w="1134"/>
      </w:tblGrid>
      <w:tr w:rsidR="008C1582" w:rsidRPr="008C1582" w:rsidTr="008C1582">
        <w:trPr>
          <w:cantSplit/>
        </w:trPr>
        <w:tc>
          <w:tcPr>
            <w:tcW w:w="392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8C1582" w:rsidRPr="008C1582" w:rsidTr="008C1582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8C1582" w:rsidRPr="008C1582" w:rsidTr="008C1582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8C1582" w:rsidRPr="008C1582" w:rsidRDefault="008C1582" w:rsidP="008C1582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8" w:type="dxa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3969"/>
        <w:gridCol w:w="1559"/>
        <w:gridCol w:w="567"/>
        <w:gridCol w:w="1134"/>
        <w:gridCol w:w="1134"/>
        <w:gridCol w:w="1134"/>
      </w:tblGrid>
      <w:tr w:rsidR="008C1582" w:rsidRPr="008C1582" w:rsidTr="008C1582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8C1582" w:rsidRPr="008C1582" w:rsidTr="008C1582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294 100,6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ind w:right="-35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32 546,3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1582" w:rsidRPr="008C1582" w:rsidRDefault="008C1582" w:rsidP="008C1582">
            <w:pPr>
              <w:spacing w:after="0" w:line="240" w:lineRule="auto"/>
              <w:ind w:right="-35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21 243,2</w:t>
            </w:r>
          </w:p>
        </w:tc>
      </w:tr>
      <w:tr w:rsidR="008C1582" w:rsidRPr="008C1582" w:rsidTr="008C1582">
        <w:tc>
          <w:tcPr>
            <w:tcW w:w="392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"Формирование современной городской среды на территории муниципального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-2 321,4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 программы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"Формирование совр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-2 321,4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комплексных проектов благоустройства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"Формирование совр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лых городах и исторических пос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комфортной городской среды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лых городах и исторических пос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Всеросси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ского конкурса лучших проектов создания комфортной городской среды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20 1 02 10400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"Формирование совр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 на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городской среды"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F2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-6 180,5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программ формиров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современной городской среды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-2 763,6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-2 763,6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программ формиров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современной городской среды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F2 W5550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-3 416,9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1 F2 W5550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-3 416,9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мес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в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9 303,9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местного сам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9 303,9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ждений, подведомственных адм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муниципального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3 390,1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929,3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798,9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2 460,8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2 460,8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органов местного сам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муниципального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Геленджик, о событиях и мероприятиях, пров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димых на курорте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органов местного сам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 "Реализация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на территории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"Реализация молодежной политики на территории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реализации молоде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в муниципальном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активного включения молодых граждан в 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циально-экономическую, полит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ческую и культурную жизнь общ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ства, гра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данское и военно-патриотическое воспитание мол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дежи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"Реализация молодежной политики на территории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поддержания молодежных инициатив, соде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ствие самореализации молодежи, повышению её компетенций и навыков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дыха, оздоровления и занятости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тей и подростков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60 568,8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20 435,8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21 243,2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образования"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60 568,8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20 435,8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21 243,2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муниципальных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-17 122,5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2 302,9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2 302,9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образования"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492,3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492,3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щедоступного и бесплатного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школьного, начального общего,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общего, среднего общего образования по основным общео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разовательным программам в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образовательных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 (приобретение движ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мого имущества для обеспечения функционирования вновь созда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и (или) создаваемых мест в муниципальных образовательных орг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низациях)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-19 917,7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-19 917,7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официальных меропри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тиях (олимпиадах, конкурсах,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роприятиях, направленных на 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ние и развитие у обучающихся интеллектуальных и творческих способностей, способностей к зан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тиям физической культурой и спо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том, интереса к научной (научно-исследовательской) деятельности, творческой деятельности, физкул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турно-спортивной деятельности)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5 860,0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20 099,6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20 922,2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щихся муниципальных общеобр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учреждений, студе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тов высших и средних специальных учебных заведений дневной формы обучения, расположенных на те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ритории муниципального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24 1 03 10220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обучающихся 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общеобразовательных учр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ждений питанием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-4 078,9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-4 078,9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полномочий по обе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печению льготным питанием уч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щихся из многодетных семей в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общеобразовател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7 273,4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20 099,6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20 922,2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7 273,4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19 802,6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20 613,0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полномочий по обе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нию бесплатным двухразовым питанием детей-инвалидов (инв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являющихся обучающ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ограниченными возможн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начальное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щее, основное общее и среднее общее образование в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организациях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418,9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24 1 03 63540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414,9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горячего питания обучающихся, получа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щих начальное общее образование в государственных и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организациях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-368,9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-368,9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680,2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компенсации) за наем 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для отдельных к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тегорий работников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образования, культуры, физической культуры и спорта муниципального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территории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-356,3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-356,3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полномочий по пред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мер социальной 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компенсации расх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дов на опл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ту жилых помещений, отопления и освещения педагог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кам муниципальных образовательных организаций, проживающим и работающим в сельских населенных пунктах, 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бочих поселках (поселках горо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территории Красн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1 036,5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24 1 05 60820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1 036,5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41 369,3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336,2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321,0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4 820,0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4 820,0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печению государственных гарантий реализации прав на получение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щедоступного и бесплатного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зования в муниципальных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общеобразовательных орган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36 279,2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336,2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321,0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36 279,2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336,2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321,0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печению получения образования в частных дошкольных и общеобр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организациях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270,1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270,1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педагогических работников с целью мотивации к повышению качества работы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29 776,8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ежемесячного денежного вознаграждения сове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никам директоров по воспитанию и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взаимодействию с детскими общ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гос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общеобразовательных организаций, профессиональных образовательных организаций субъектов Ро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г. Байконура и федеральной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"Сириус", муниципальных общеобразов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и профессиональных образовател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24 1 07 50500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24 1 07 50500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денежное вознагра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дение за классное руководство п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работникам госуда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образовательные програ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мы начального общего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ния,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основного общего образования,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среднего общего образования (осуществл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ние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дельного государственного полномочия по обеспечению 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плат ежемесячного денежного во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 за классное руково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ство педагогическим работникам муниципальных общеобразов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заций)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29 282,0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29 282,0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"Патриотич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ское воспитание граждан Росси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EВ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оснащения госуда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организаций, в том числе структурных подразд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лений указанных организаций го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="007C554D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дарственными символами Росси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EВ 57860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1 EВ 57860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кул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73 250,9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культуры"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73 250,9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муниципальных учреждений кул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67 260,9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67 260,9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67 260,9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5 990,0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5 990,0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5 990,0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образования город-курорт Геленджик "Развитие физ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2 652,7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физической культуры и спорта на территории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2 652,7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щим деятельность на территории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465,6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650,5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инфраструктуры и укрепление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териально-технической базы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учреждений физической культуры и спорта, учреждений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образования, реал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зующих дополнительные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программы спортивной подготовки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26 1 04 00000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физической культ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ры и спорта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26 1 04 10230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-1 123,6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26 1 04 10230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-1 123,6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на приобретение спо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тивно-технологического оборуд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вания, инвентаря и экипировки для муниципальных учреждений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образования отра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ли "Ф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зическая культура и спорт", реализующих дополнительные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подготовки в соответствии с федеральными стандартами спо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подготовки по базовым 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дам спо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04 S2690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2 675,2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26 1 04 S2690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2 675,2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"Развитие ж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дорожного хозяйства муниципального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50 850,6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капитальный ремонт и содержание объектов внешнего благ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устройства муниципального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43 956,6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43 956,6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1 384,8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1 384,8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42 144,5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42 144,5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городского округа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427,3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427,3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дыми коммунальными отходами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5 608,2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ровки твердых коммунальных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ходов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5 608,2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хозя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Ликвидация объектов накопленного вреда окружающей среде, проше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ших оценку воздействия на состо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ние окружающей среды, здоровье и пр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должительность жизни граждан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01 W4700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2 01 W4700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дорожн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хозяйства муниципального обр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инфраструктуры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ектные работы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научно-исследовательских, опытно-конструкторских и технологич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ских работ в сфере дорожного 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зяйства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хозя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27 3 02 10890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27 3 02 10890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"Развитие жилищно-коммунального и дорожного хозя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ства муниципального образования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Геленджик", не 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подпрограммы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1 285,8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Формирование фонда капитального ремонта в части софинансирования доли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Уплата взносов на капитальный ремонт общего имущества в мног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квартирном доме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жений и объектов, увековечива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щих память погибших при защите Отеч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"Дети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"Дети Геленджика"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 в каникулярное время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вательными организациями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дыха, оздоровления и занятости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тей и подростков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-60,1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-60,1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полномочий Красн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по обеспечению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дыха детей в каникулярное время в профильных лагерях, организова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муниципальными общеобраз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вательными организациями Кра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-393,4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-5,8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"Социальная поддержка граждан в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"Социальная поддержка граждан в муниципальном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отдельным кат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гориям граждан, проживающих на территории муниципального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 за высл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гу лет лиц, замещавших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пальные должности и должности муниципальной службы в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"Экономическое развитие муниципального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"Экономическое развитие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Геленджик", не воше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мещения нестационарных торговых объектов, нестационарных объе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тов по оказанию услуг на террит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рии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"Экономическое развитие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-247,7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4 800,0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"Комплексное и устойчивое развитие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34 860,5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инфраструктуры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город-курорт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"Физическая культура и спорт"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ции, те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нического перевооружения) объектов капитального строител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на территории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документации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неральных планов, землеустро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ству и землепользованию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градостроительства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101,7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-101,7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"Комплексное и устойч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вое</w:t>
            </w:r>
            <w:r w:rsidR="0080259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развитие </w:t>
            </w:r>
            <w:r w:rsidR="0080259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муниципального </w:t>
            </w:r>
            <w:r w:rsidR="00802595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 в сфере строительства и арх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вошедшие в подпр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эффективности, усто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чивости и надежности функцион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рования систем водоснабжения и водоотведения муниципального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разв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тию коммунальной инфраструкт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ры в городе Геленджике путем 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ключения концессионного согл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шения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недвижимого имущества для муниципальных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за изымаемые земел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ные участки и (или) расположе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ные на них объекты недвижимости их правообладателям в целях 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мещения объекта местного знач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-  парка в районе улицы 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сантной Тонкого мыса города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79 318,5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-79 318,5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образования город-курорт Геленджик "Информатиз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"Информатизация органов местного самоуправления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совр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менной информационной инфр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администрации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"Информатизация органов местного самоуправления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современной телекоммуникацио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инфраструктуры администр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"Информатизация органов местного самоуправления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02595">
        <w:trPr>
          <w:trHeight w:val="1777"/>
        </w:trPr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"Обеспечение безопасности населения на терр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-178,0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чрезвычайных ситуаций приро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техногенного характера"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-178,0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авари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но-спасательных служб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160,5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сти (оказание услуг)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монта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160,7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160,7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гражданской обороне, защите населения и территории 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Геленджик от чрезвыча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природного и техн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генного 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рактера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-338,5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последствий чрезв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ситуаций, стихийных 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последствий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-134,0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34 1 03 10540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-134,0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безопасности жизнедеятельности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образования город-курорт Геленджик "Профилактика экстремизма и терроризма в 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"Профилактика террори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ма и экстремизма в муниципальном образовании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антитеррористических мероприятий по обеспечению бе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="007C554D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пасности объектов, в том числе п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вышение инженерно-технической защищенности социально знач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мых объектов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 "Профилактика экстр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мизма и терроризма в муниципал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Думы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Думы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админ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муниципального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админ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муниципального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-18 707,8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муниципальными ф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финансового управления админ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муниципального образов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Ко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трольно-счетной палаты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ты муниципального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ципальными) органами, казенными учреждениями, органами управл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внебюдже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43,4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-43,4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пального образования город-курорт 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 им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ществом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непрограммные мер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приятия в рамках управления им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ществом муниципального образ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неральных планов, землеустро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ству и землепользованию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регулирование отношений по муниципальной собственности, а также оформление прав на 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мещ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ние нестационарных торговых об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обслуживание казны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418,6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418,6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самоуправления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79 500,0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79 500,0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79 500,0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муниципального образования г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целях финансового обеспечения затрат в рамках мер по предупреждению банкротства и восстановлению пл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тежеспособности муниципальных унитарных предприятий муниц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Геленджик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питание граждан Российской Федерации, иностра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ных граждан и лиц без гражда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ства, п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стоянно проживающих на территории Украины, а также на территор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ях субъектов Российской Федерации, на которых введены максимальный и средний уровни реагирования, вынужденно пок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нувших жилые помещения и нах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дившихся в пунктах временного размещения и питания на террит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рии Краснода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некоммерческим организац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C1582" w:rsidRPr="008C1582" w:rsidTr="008C1582">
        <w:tc>
          <w:tcPr>
            <w:tcW w:w="392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hideMark/>
          </w:tcPr>
          <w:p w:rsidR="008C1582" w:rsidRPr="008C1582" w:rsidRDefault="008C1582" w:rsidP="00D13C7B">
            <w:pPr>
              <w:spacing w:after="0" w:line="240" w:lineRule="auto"/>
              <w:ind w:left="143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Условно утвержденные расходы                                                 </w:t>
            </w:r>
          </w:p>
        </w:tc>
        <w:tc>
          <w:tcPr>
            <w:tcW w:w="1559" w:type="dxa"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8C1582" w:rsidRPr="008C1582" w:rsidRDefault="008C1582" w:rsidP="008C1582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8C1582" w:rsidRPr="008C1582" w:rsidRDefault="008C1582" w:rsidP="008C1582">
            <w:pPr>
              <w:spacing w:after="0" w:line="240" w:lineRule="auto"/>
              <w:ind w:right="-35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35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8C1582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  0,0</w:t>
            </w:r>
          </w:p>
        </w:tc>
        <w:tc>
          <w:tcPr>
            <w:tcW w:w="1134" w:type="dxa"/>
            <w:noWrap/>
            <w:hideMark/>
          </w:tcPr>
          <w:p w:rsidR="008C1582" w:rsidRPr="008C1582" w:rsidRDefault="008C1582" w:rsidP="008C1582">
            <w:pPr>
              <w:spacing w:after="0" w:line="240" w:lineRule="auto"/>
              <w:ind w:right="-35"/>
              <w:jc w:val="right"/>
              <w:rPr>
                <w:rFonts w:ascii="Times New Roman" w:eastAsia="Georgia" w:hAnsi="Times New Roman" w:cs="Times New Roman"/>
                <w:sz w:val="23"/>
                <w:szCs w:val="23"/>
              </w:rPr>
            </w:pPr>
            <w:r w:rsidRPr="008C1582">
              <w:rPr>
                <w:rFonts w:ascii="Times New Roman" w:eastAsia="Georgia" w:hAnsi="Times New Roman" w:cs="Times New Roman"/>
                <w:sz w:val="23"/>
                <w:szCs w:val="23"/>
              </w:rPr>
              <w:t xml:space="preserve"> - 1 410,5»</w:t>
            </w:r>
          </w:p>
        </w:tc>
      </w:tr>
    </w:tbl>
    <w:p w:rsidR="008C1582" w:rsidRDefault="008C1582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Default="000459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4278BD">
        <w:rPr>
          <w:rFonts w:ascii="Times New Roman" w:eastAsia="Georgia" w:hAnsi="Times New Roman" w:cs="Times New Roman"/>
          <w:sz w:val="28"/>
          <w:szCs w:val="32"/>
        </w:rPr>
        <w:t>1</w:t>
      </w:r>
      <w:r w:rsidR="008C1582">
        <w:rPr>
          <w:rFonts w:ascii="Times New Roman" w:eastAsia="Georgia" w:hAnsi="Times New Roman" w:cs="Times New Roman"/>
          <w:sz w:val="28"/>
          <w:szCs w:val="32"/>
        </w:rPr>
        <w:t>1</w:t>
      </w:r>
      <w:r w:rsidR="00BB523F" w:rsidRPr="004278BD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4278BD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4278BD">
        <w:rPr>
          <w:rFonts w:ascii="Times New Roman" w:eastAsia="Georgia" w:hAnsi="Times New Roman" w:cs="Times New Roman"/>
          <w:sz w:val="28"/>
          <w:szCs w:val="32"/>
        </w:rPr>
        <w:t>(</w:t>
      </w:r>
      <w:r w:rsidR="00D82050">
        <w:rPr>
          <w:rFonts w:ascii="Times New Roman" w:eastAsia="Georgia" w:hAnsi="Times New Roman" w:cs="Times New Roman"/>
          <w:sz w:val="28"/>
          <w:szCs w:val="32"/>
        </w:rPr>
        <w:t>6</w:t>
      </w:r>
      <w:r w:rsidR="004C1FFC" w:rsidRPr="004278BD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8717E4" w:rsidRPr="004278BD" w:rsidRDefault="008717E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8A396D" w:rsidP="0032636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326366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="003E601A"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4278BD" w:rsidTr="00110CC7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1C2C73" w:rsidRPr="004278BD" w:rsidTr="00110CC7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278BD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278BD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02595" w:rsidRDefault="00802595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532BC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532BC" w:rsidRPr="004278BD" w:rsidRDefault="00114A61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на</w:t>
      </w:r>
      <w:r w:rsidR="001B1E0E" w:rsidRPr="004278BD">
        <w:rPr>
          <w:rFonts w:ascii="Times New Roman" w:eastAsia="Georgia" w:hAnsi="Times New Roman" w:cs="Times New Roman"/>
          <w:sz w:val="28"/>
          <w:szCs w:val="28"/>
        </w:rPr>
        <w:t xml:space="preserve"> 2024 год и плановый период 2025 и 2026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</w:p>
    <w:p w:rsidR="00C532BC" w:rsidRPr="004278BD" w:rsidRDefault="00DB7808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предусмотренной</w:t>
      </w:r>
      <w:r w:rsidR="000A0DD2" w:rsidRPr="004278BD">
        <w:rPr>
          <w:rFonts w:ascii="Times New Roman" w:eastAsia="Georgia" w:hAnsi="Times New Roman" w:cs="Times New Roman"/>
          <w:sz w:val="28"/>
          <w:szCs w:val="28"/>
        </w:rPr>
        <w:t xml:space="preserve"> приложениями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4F02C1" w:rsidRPr="004278BD">
        <w:rPr>
          <w:rFonts w:ascii="Times New Roman" w:eastAsia="Georgia" w:hAnsi="Times New Roman" w:cs="Times New Roman"/>
          <w:sz w:val="28"/>
          <w:szCs w:val="28"/>
        </w:rPr>
        <w:t xml:space="preserve"> - </w:t>
      </w:r>
      <w:r w:rsidR="000A0DD2" w:rsidRPr="004278BD">
        <w:rPr>
          <w:rFonts w:ascii="Times New Roman" w:eastAsia="Georgia" w:hAnsi="Times New Roman" w:cs="Times New Roman"/>
          <w:sz w:val="28"/>
          <w:szCs w:val="28"/>
        </w:rPr>
        <w:t>6(</w:t>
      </w:r>
      <w:r w:rsidR="00326366">
        <w:rPr>
          <w:rFonts w:ascii="Times New Roman" w:eastAsia="Georgia" w:hAnsi="Times New Roman" w:cs="Times New Roman"/>
          <w:sz w:val="28"/>
          <w:szCs w:val="28"/>
        </w:rPr>
        <w:t>5</w:t>
      </w:r>
      <w:r w:rsidR="000A0DD2" w:rsidRPr="004278BD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183E84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532BC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4F02C1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го</w:t>
      </w:r>
      <w:r w:rsidR="001B1E0E" w:rsidRPr="004278BD">
        <w:rPr>
          <w:rFonts w:ascii="Times New Roman" w:eastAsia="Georgia" w:hAnsi="Times New Roman" w:cs="Times New Roman"/>
          <w:sz w:val="28"/>
          <w:szCs w:val="28"/>
        </w:rPr>
        <w:t>род-курорт Геленджик на 2024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 и </w:t>
      </w:r>
    </w:p>
    <w:p w:rsidR="001C2C73" w:rsidRPr="004278BD" w:rsidRDefault="00C532BC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на </w:t>
      </w:r>
      <w:r w:rsidR="001B1E0E" w:rsidRPr="004278BD">
        <w:rPr>
          <w:rFonts w:ascii="Times New Roman" w:eastAsia="Georgia" w:hAnsi="Times New Roman" w:cs="Times New Roman"/>
          <w:sz w:val="28"/>
          <w:szCs w:val="28"/>
        </w:rPr>
        <w:t>плановый период 2025 и 2026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DE6050" w:rsidRPr="004278BD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0459D7" w:rsidRDefault="000459D7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91"/>
        <w:gridCol w:w="2870"/>
        <w:gridCol w:w="425"/>
        <w:gridCol w:w="425"/>
        <w:gridCol w:w="425"/>
        <w:gridCol w:w="1559"/>
        <w:gridCol w:w="426"/>
        <w:gridCol w:w="1135"/>
        <w:gridCol w:w="992"/>
        <w:gridCol w:w="1134"/>
      </w:tblGrid>
      <w:tr w:rsidR="00D13C7B" w:rsidRPr="00D13C7B" w:rsidTr="00802595">
        <w:trPr>
          <w:cantSplit/>
        </w:trPr>
        <w:tc>
          <w:tcPr>
            <w:tcW w:w="391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870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D13C7B" w:rsidRPr="00D13C7B" w:rsidTr="00802595">
        <w:trPr>
          <w:cantSplit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№ 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D13C7B" w:rsidRPr="00D13C7B" w:rsidTr="00802595">
        <w:trPr>
          <w:cantSplit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D13C7B" w:rsidRPr="00D13C7B" w:rsidRDefault="00D13C7B" w:rsidP="00D13C7B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1"/>
        <w:gridCol w:w="2586"/>
        <w:gridCol w:w="567"/>
        <w:gridCol w:w="425"/>
        <w:gridCol w:w="425"/>
        <w:gridCol w:w="1558"/>
        <w:gridCol w:w="569"/>
        <w:gridCol w:w="1135"/>
        <w:gridCol w:w="992"/>
        <w:gridCol w:w="1134"/>
      </w:tblGrid>
      <w:tr w:rsidR="00D13C7B" w:rsidRPr="00D13C7B" w:rsidTr="00802595">
        <w:trPr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D13C7B" w:rsidRPr="00D13C7B" w:rsidTr="00802595"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13C7B" w:rsidRPr="00D13C7B" w:rsidRDefault="00D13C7B" w:rsidP="00D13C7B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294 100,6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32 546,3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  <w:t>21 243,2</w:t>
            </w:r>
          </w:p>
        </w:tc>
      </w:tr>
      <w:tr w:rsidR="00D13C7B" w:rsidRPr="00D13C7B" w:rsidTr="00802595">
        <w:tc>
          <w:tcPr>
            <w:tcW w:w="391" w:type="dxa"/>
            <w:noWrap/>
            <w:vAlign w:val="center"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noWrap/>
            <w:vAlign w:val="bottom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Дума муниципального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тельных) органов государстве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ной власти и предст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вительных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ганов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Думы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Думы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76 608,5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16 992,6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высших исполнител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местных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министр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администрации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администрации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-18 702,6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-18 707,8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35 695,2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местного самоуправления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9 199,1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сам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9 199,1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учреждений,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ведомственных администрации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3 285,3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824,5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2 460,8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2 460,8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органов местн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самоуправления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о событ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ях и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роприятиях, проводимых на куро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5 913,8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"Экономическое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"Экономическое развитие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рядка размещения нестационарных то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говых объектов, 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стационарных объе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тов по оказанию услуг на территории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"Эк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номическое развитие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4 552,3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-247,7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"Комплексное и устойчивое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недвижимого имущества для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за изым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емые земельные участки и (или) расп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ложенные на них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екты недв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жимости их правообл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дателям в целях размещения объекта местного зн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-  парка в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оне улицы Десан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ной Тонкого мыса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рода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79 318,5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08 S2590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-79 318,5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21 943,8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местного самоуправления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мес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сам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муниципальном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ности учреждений,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ведомственных администрации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"Информатизация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сам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информационной 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адм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менной телекоммун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кационной инфр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админ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страция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"Информатиз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 органов местного самоуправления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59 256,5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59 256,5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"Комплексное и устойчивое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"Комплексное и усто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тектуры", не воше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подпрогра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эффе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тивности, устойчив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 и надежности функци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нирования систем вод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и водоотведения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по развитию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мунальной инфр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в городе Геленджике путем 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ключения концесс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онного 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глашения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35 256,5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в целях фина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обеспечения затрат в рамках мер по предупреждению банкротства и восст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новлению платеж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способности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предприятий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"Социальная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держка граждан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граждан в муниципальном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ным категориям граждан, прожива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за выслугу лет лиц, замещавших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ниципальные должн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 и должности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службы в муниципальном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и иные выплаты насел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254,6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администрации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орг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финансового (фина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финансами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 финанс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финанс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вого управления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министрации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Контрольно-счетная палата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финансовых, налоговых и таможе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орг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нов и органов финансового (фина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сово-бюджетного) надз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Контрольно-счетной палаты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Контрол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43,4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-70,9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Контрольно-счетной палаты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обесп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деятельности Контрол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но-счетной палаты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градостро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ласти национальной эк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номики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"Комплексное и устойчивое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готовка градостро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тельной и землеустр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ительной документ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устроительной док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ментации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леустройству и земл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пользов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в сф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 град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функций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-101,7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администр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"Комплексное и устойчивое развитие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тект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тие общественной 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объектов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расли "Физическая культура и спорт"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в том числе с элементами реста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рации, технического перевооружения)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ектов капитального строительства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10 700,0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обороны и чре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администрации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2 090,4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питание граждан Российской Федерации, иностра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граждан и лиц без гражданства, постоя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 проживающих на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ритории Украины, а также на территор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ях субъектов Росси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на которых введены ма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симальный и средний уровни ре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гирования, вынужденно пок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нувших жилые пом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щения и находивши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ся в пунктах време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размещения и питания на террит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рии Кра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2 268,4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="007C554D">
              <w:rPr>
                <w:rFonts w:ascii="Times New Roman" w:eastAsia="Georgia" w:hAnsi="Times New Roman" w:cs="Times New Roman"/>
                <w:sz w:val="24"/>
                <w:szCs w:val="32"/>
              </w:rPr>
              <w:t>-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пасность и правоохр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нительная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характера, пожа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ная безопа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"Обеспечение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опас-ности населения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от чрезвычайных ситу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тера"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аварийно-спасательных служб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</w:t>
            </w:r>
            <w:bookmarkStart w:id="2" w:name="_GoBack"/>
            <w:bookmarkEnd w:id="2"/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160,5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-0,2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160,7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160,7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обороне, защите населения и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чрезвычайных ситуаций природного и техногенного хара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-134,0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дупреждению и ли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последствий чрезвычайных ситу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ций, стихийных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ствий и их после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-134,0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-134,0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"Обеспечение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опас-ности населения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 населения и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от чрезвычайных ситу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 природного и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тера"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гражда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обороне, защите населения и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от чрезвычайных ситуаций природного и техногенного хара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 жизнедеятел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-204,5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отношений администрации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ходы в рамках 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муниципальным им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ществом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в рамках управл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имуществом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леустройству и земл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пользов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нию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шений по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сти, а также оформл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прав на размещ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нестаци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нарных торговых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ектов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живание казны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418,6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Формирование фонда 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 в части софинансир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доли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Уплата взносов на 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питальный ремонт общего имущества в многоквартирном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ства администрации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город-курорт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48 447,8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рожные фонды)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тие дорожного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ства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рожной инфрастру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бильных дорог мес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значения, вкл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чая проек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ные работы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научно-исследовательских, опытно-конструкторских и технологических 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бот в сфере дорожного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27 3 02 10890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27 3 02 10890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46 635,2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46 635,2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"Формирование 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городской среды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-2 321,4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"Формирование современной горо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-2 321,4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комплек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проектов благ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19 359,1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лых городах и истор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ческих поселениях - победителях Всеро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городской среды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лых городах и истор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ческих поселениях - победителях Всеро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сийского конкурса лучших проектов 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здания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20 1 02 10400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-14 000,0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проектов создания комфортной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мирование современной горо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в объекты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-1 500,0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"Формирование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F2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-6 180,5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программ формирования совр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-2 763,6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-2 763,6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программ формирования совр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менной городской среды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F2 W5550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-3 416,9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1 F2 W5550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-3 416,9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48 956,6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тие, реконструкция, 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питальный ремонт и соде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жание объектов внешнего благ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устройства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43 956,6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риторий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43 956,6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сетей наружного осв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1 384,8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1 384,8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42 144,5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42 144,5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ского округа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427,3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427,3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отх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сбора и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транспортировки твердых коммунал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доро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ласти охраны окр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отх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 муниципального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ходов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Ликвидация объектов накопленного вреда окружающей среде, прошедших оценку воздействия на сост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яние окружающей среды, здоровье и продолж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 жизни гра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дан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W4700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2 01 W4700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608,2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и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рожного хозяйства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Геленджик", не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альных сооружений и объектов, увековеч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вающих память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гибших при защите От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чества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1 204,4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60 491,0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20 435,8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21 243,2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57 875,5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20 435,8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21 243,2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27 794,2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27 723,9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27 723,9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-2 161,9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-1 489,6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-1 489,6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-672,3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-672,3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861,5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компенсации (частичной компенс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образования, культ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121,0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121,0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ственных полномочий по пред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мер социальной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дов на оплату жилых пом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щений, отопления и освещения педагог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работникам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проживающим и работающим в сел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ских населенных пунктах, рабочих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селках (поселках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родского типа) на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Краснода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740,5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740,5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29 024,3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мочий по финансов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 обеспечению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лизации прав на получение общед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общео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28 754,2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28 754,2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143,8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137,8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мочий по финансов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 обеспечению пол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чения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в частных дошкольных и общеобразовател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270,1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270,1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"Профилактика эк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ма в муниципальном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социал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24 381,3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19 995,0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20 796,2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24 381,3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19 995,0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20 796,2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24 381,3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19 995,0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20 796,2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-15 859,7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4 208,4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4 208,4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-150,4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-150,4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общед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дошкольного, начального общего, основного общего, среднего общего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по осно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ным общеобразовател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ным программам в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ях (приобретение дв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жимого имущества для обеспечения функци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нирования вновь созданных и (или) создаваемых мест в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ганизац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ях)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-19 917,7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-19 917,7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рий обучающихся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3 240,5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19 802,6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20 613,0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щихся 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ждений питанием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-4 078,9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-4 078,9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обеспечению льготным пит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нием учащихся из мног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детных семей в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7 273,4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19 802,6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20 613,0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7 273,4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19 802,6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20 613,0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обеспечению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платным двухразовым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танием детей-инвалидов (инвал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дов), не являющихся обучающимися с ограниченными во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можн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общее, осно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и среднее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щее образование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414,9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414,9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горячего питания обучающихся, пол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чающих начальное общее образование в государственных и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-368,9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-368,9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рий работников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-181,3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ки в виде компенсации (частичной компенс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образования, культ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ры,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ленджик, прожива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-477,3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-477,3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ственных полномочий по пред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мер социальной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дов на оплату жилых пом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щений, отопления и освещения педагог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работникам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заций, проживающим и работающим в сел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ских населенных пунктах, рабочих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селках (поселках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родского типа) на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Краснода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296,0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7 525,0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192,4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183,2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мочий по финансов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 обеспечению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гарантий ре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лизации прав на получение общед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общео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7 525,0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192,4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183,2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7 525,0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192,4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183,2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гогических работн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ков с целью мотив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к повышению 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чества раб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29 776,8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выплат ежемесячного дене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вознаграждения советникам директ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ров по воспитанию и взаимодействию с детскими обществе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ными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государственных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организаций, профе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заций субъектов 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г. Байк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нура и федерал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ной территории "Сир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ус", муниципальных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24 1 07 50500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24 1 07 50500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дене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вознаграждение за классное руководство педагогическим 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ботникам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 начального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 основного общего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разования,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(осуществл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отдельного гос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дарственного 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мочия по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 выплат ежемеся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дения за классное 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заций)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29 282,0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29 282,0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"Патриотическое во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питание граждан Ро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рации"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EВ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оснащ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и муниципальных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ций, в том числе структурных подразделений ук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занных орг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низаций государственными символами Росси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EВ 57860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EВ 57860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6 024,5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5 719,1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5 719,1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онирования и развития муниципальных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899,1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-415,9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-415,9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1 315,0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1 315,0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4 820,0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"Профилактика эк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ма в муниципальном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социал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305,4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ласти образования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-366,2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87,3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стей об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чающихся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в офиц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альных мероприятиях (олимпиадах, конку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сах, мероприятиях, направленных на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явление и развитие у обучающихся инте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лектуальных и творч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ских способностей, способностей к зан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тиям физической культурой и спортом, интереса к научной (нау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но-исследовательской) деятельности, творч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ской деятельности, физкул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турно-спортивной деятел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ности)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рий обучающихся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ственных полномочий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 обеспечению льготным пит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нием учащихся из мног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детных семей в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общеобр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297,0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309,2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по обеспечению бе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платным двухразовым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танием детей-инвалидов (инвал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дов), не являющихся обучающимися с ограниченными во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можн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общее, осно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и среднее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щее образование в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общео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зациях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нение муниципальных функций в сфере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ния государственных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"Дети Гелендж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оздоровления детей в каникулярное время образовательными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-453,5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низации отдыха, озд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ровления и занятости детей и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ростков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-60,1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-60,1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полномочий Красн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по обеспечению отд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ха детей в каникуля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ное время в профил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ных лагерях,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зованных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общеобр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зовательными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зациями Краснода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-393,4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-5,8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-387,6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населения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 отдельных катег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рий обучающихся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ки по оплате проезда учащихся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ний, студентов вы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ших и средних спец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альных учебных зав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дений дне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ной формы обучения, распол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женных на территории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сигнования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2 615,5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графии администр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104 538,7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7 907,1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зование детей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7 907,1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7 907,1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7 907,1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услуг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6 810,6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6 810,6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6 810,6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Создание условий для культурного отдыха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населения, обогащ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культурной жизни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1 096,5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1 096,5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1 096,5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графия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96 631,6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96 631,6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"Развитие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65 343,8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65 343,8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 культуры и детских школ искусств по предоставлению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услуг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60 450,3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60 450,3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сидий бюджетным,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60 450,3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культурной жизни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4 893,5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 капитального ремонта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4 893,5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4 893,5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ления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роприятия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мощь местным 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жетам для решения соц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ально значимых вопр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31 287,8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12.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культуре и спорту администрации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2 764,8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готовка и повышение квалиф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цией муниципальной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2 779,8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спорта, осуществл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ющим деятельность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1 116,1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465,6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1 410,5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650,5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1 663,7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витие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на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и укрепл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мат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риально-технической базы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ждений физической кул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спорта, учреждений дополн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образования, реализующих допо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нительные образов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спортивной подгото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тий муниципальной 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 муниципальн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26 1 04 10230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-1 123,6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26 1 04 10230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-1 123,6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на приобр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тение спортивно-технологического оборудования, инве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таря и экипировки для муниципальных учр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ждений дополнител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расли "Физическая культура и спорт", 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ализующих дополн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образовател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спо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готовки в соответствии с фед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ральными стандарт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 спортивной подг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товки по базовым 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 спо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04 S2690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2 675,2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26 1 04 S2690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2 675,2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"Профилактика эк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террори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ма в муниципальном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112,1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терроризма и экстр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112,1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рористических мер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нию безопасности объектов, в том числе повышение инжене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но-технической 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щищенности социал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112,1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"Профилактика экстремизма и терр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112,1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сидий бюджетным, автономным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 и иным неко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мерческим организ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циям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112,1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грамма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Геленджик "Реализация молоде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на те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муниципал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тия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литики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-1 667,9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чение реализации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политики в муниципальном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(ок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услуг)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учреждений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функций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(муниц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орган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ми, казенными учрежд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ниями, органами управления госуда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внебю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дами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-1 084,4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активного включения молодых граждан в 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циально-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экономическую, пол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тическую и культу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ную жизнь общества, гра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данское и военно-патриотическое во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питание молодежи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23 1 02 00000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тий муниципальной программы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лодежной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литики на территории муниц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-86,7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поддержания мол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дежных инициатив, содействие самореал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зации молодежи, 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вышению её комп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тенций и нав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ков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23 1 03 00000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низации отдыха, озд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ровления и занятости детей и по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ростков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7" w:right="-109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-496,8</w:t>
            </w: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586" w:type="dxa"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D13C7B" w:rsidRPr="00D13C7B" w:rsidTr="00802595">
        <w:tc>
          <w:tcPr>
            <w:tcW w:w="391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42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586" w:type="dxa"/>
            <w:noWrap/>
            <w:vAlign w:val="center"/>
            <w:hideMark/>
          </w:tcPr>
          <w:p w:rsidR="00D13C7B" w:rsidRPr="00D13C7B" w:rsidRDefault="00D13C7B" w:rsidP="0080259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утвержде</w:t>
            </w: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>н</w:t>
            </w: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>ные ра</w:t>
            </w: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>с</w:t>
            </w: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ходы                                                 </w:t>
            </w:r>
          </w:p>
        </w:tc>
        <w:tc>
          <w:tcPr>
            <w:tcW w:w="567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8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9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1134" w:type="dxa"/>
            <w:noWrap/>
            <w:hideMark/>
          </w:tcPr>
          <w:p w:rsidR="00D13C7B" w:rsidRPr="00D13C7B" w:rsidRDefault="00D13C7B" w:rsidP="00D13C7B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3C7B">
              <w:rPr>
                <w:rFonts w:ascii="Times New Roman" w:eastAsia="Georgia" w:hAnsi="Times New Roman" w:cs="Times New Roman"/>
                <w:sz w:val="24"/>
                <w:szCs w:val="24"/>
              </w:rPr>
              <w:t>- 1 410,5»</w:t>
            </w:r>
          </w:p>
        </w:tc>
      </w:tr>
    </w:tbl>
    <w:p w:rsidR="00D13C7B" w:rsidRPr="00D13C7B" w:rsidRDefault="00D13C7B" w:rsidP="00D13C7B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567"/>
        <w:gridCol w:w="459"/>
        <w:gridCol w:w="425"/>
        <w:gridCol w:w="1559"/>
        <w:gridCol w:w="392"/>
        <w:gridCol w:w="1275"/>
        <w:gridCol w:w="1134"/>
        <w:gridCol w:w="1276"/>
      </w:tblGrid>
      <w:tr w:rsidR="00D82050" w:rsidRPr="00A95271" w:rsidTr="00802595">
        <w:tc>
          <w:tcPr>
            <w:tcW w:w="534" w:type="dxa"/>
            <w:noWrap/>
            <w:vAlign w:val="center"/>
          </w:tcPr>
          <w:p w:rsidR="00D82050" w:rsidRPr="00A95271" w:rsidRDefault="00D82050" w:rsidP="00D13C7B">
            <w:pPr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noWrap/>
            <w:vAlign w:val="center"/>
          </w:tcPr>
          <w:p w:rsidR="00D82050" w:rsidRPr="00A95271" w:rsidRDefault="00D82050" w:rsidP="00A95271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59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2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noWrap/>
          </w:tcPr>
          <w:p w:rsidR="00D82050" w:rsidRPr="00A95271" w:rsidRDefault="00D82050" w:rsidP="00A9527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82050" w:rsidRPr="00A95271" w:rsidRDefault="00D82050" w:rsidP="00A95271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82050" w:rsidRPr="00A95271" w:rsidTr="00802595">
        <w:tc>
          <w:tcPr>
            <w:tcW w:w="5704" w:type="dxa"/>
            <w:gridSpan w:val="6"/>
            <w:noWrap/>
            <w:vAlign w:val="center"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Глава муниципального образования                                                  город-курорт Геленджик</w:t>
            </w:r>
          </w:p>
        </w:tc>
        <w:tc>
          <w:tcPr>
            <w:tcW w:w="392" w:type="dxa"/>
            <w:noWrap/>
          </w:tcPr>
          <w:p w:rsidR="00D82050" w:rsidRPr="00A95271" w:rsidRDefault="00D82050" w:rsidP="00A952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5" w:type="dxa"/>
            <w:gridSpan w:val="3"/>
            <w:noWrap/>
          </w:tcPr>
          <w:p w:rsidR="00D82050" w:rsidRDefault="00D82050" w:rsidP="00A95271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D82050" w:rsidRPr="00A95271" w:rsidRDefault="00D82050" w:rsidP="00A95271">
            <w:pPr>
              <w:spacing w:after="0" w:line="240" w:lineRule="auto"/>
              <w:ind w:left="-108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А.А. Богодистов</w:t>
            </w:r>
          </w:p>
        </w:tc>
      </w:tr>
    </w:tbl>
    <w:p w:rsidR="0038249F" w:rsidRPr="004278BD" w:rsidRDefault="0038249F" w:rsidP="00CA626D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sectPr w:rsidR="0038249F" w:rsidRPr="004278BD" w:rsidSect="00AE4C12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95" w:rsidRDefault="00802595" w:rsidP="008A122D">
      <w:pPr>
        <w:spacing w:after="0" w:line="240" w:lineRule="auto"/>
      </w:pPr>
      <w:r>
        <w:separator/>
      </w:r>
    </w:p>
  </w:endnote>
  <w:endnote w:type="continuationSeparator" w:id="0">
    <w:p w:rsidR="00802595" w:rsidRDefault="00802595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95" w:rsidRDefault="00802595" w:rsidP="008A122D">
      <w:pPr>
        <w:spacing w:after="0" w:line="240" w:lineRule="auto"/>
      </w:pPr>
      <w:r>
        <w:separator/>
      </w:r>
    </w:p>
  </w:footnote>
  <w:footnote w:type="continuationSeparator" w:id="0">
    <w:p w:rsidR="00802595" w:rsidRDefault="00802595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02595" w:rsidRPr="002348C2" w:rsidRDefault="0080259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554D">
          <w:rPr>
            <w:rFonts w:ascii="Times New Roman" w:hAnsi="Times New Roman" w:cs="Times New Roman"/>
            <w:noProof/>
            <w:sz w:val="28"/>
            <w:szCs w:val="28"/>
          </w:rPr>
          <w:t>70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2595" w:rsidRDefault="008025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FF5"/>
    <w:rsid w:val="000B61E4"/>
    <w:rsid w:val="000C727A"/>
    <w:rsid w:val="000D0123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FAD"/>
    <w:rsid w:val="00190BEA"/>
    <w:rsid w:val="001926C6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69EC"/>
    <w:rsid w:val="002D5C0C"/>
    <w:rsid w:val="002F040D"/>
    <w:rsid w:val="002F23B3"/>
    <w:rsid w:val="00304106"/>
    <w:rsid w:val="003079BB"/>
    <w:rsid w:val="00316DBF"/>
    <w:rsid w:val="00326366"/>
    <w:rsid w:val="00336EB3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C0290"/>
    <w:rsid w:val="003C6470"/>
    <w:rsid w:val="003D6E7F"/>
    <w:rsid w:val="003E1451"/>
    <w:rsid w:val="003E1982"/>
    <w:rsid w:val="003E1A85"/>
    <w:rsid w:val="003E601A"/>
    <w:rsid w:val="003F1D2A"/>
    <w:rsid w:val="003F4089"/>
    <w:rsid w:val="00402034"/>
    <w:rsid w:val="00403EA9"/>
    <w:rsid w:val="00422C15"/>
    <w:rsid w:val="004278BD"/>
    <w:rsid w:val="004303B6"/>
    <w:rsid w:val="004363B7"/>
    <w:rsid w:val="00437A51"/>
    <w:rsid w:val="004432A8"/>
    <w:rsid w:val="00453DDB"/>
    <w:rsid w:val="004679C1"/>
    <w:rsid w:val="00470E93"/>
    <w:rsid w:val="00475408"/>
    <w:rsid w:val="00482A6B"/>
    <w:rsid w:val="00485673"/>
    <w:rsid w:val="00490D86"/>
    <w:rsid w:val="00491E91"/>
    <w:rsid w:val="004A2798"/>
    <w:rsid w:val="004A398A"/>
    <w:rsid w:val="004C1FFC"/>
    <w:rsid w:val="004C49C0"/>
    <w:rsid w:val="004D700F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A4A54"/>
    <w:rsid w:val="005A58FD"/>
    <w:rsid w:val="005B3995"/>
    <w:rsid w:val="005B3CD1"/>
    <w:rsid w:val="005D5120"/>
    <w:rsid w:val="005D6EAF"/>
    <w:rsid w:val="005E3FA4"/>
    <w:rsid w:val="005E539C"/>
    <w:rsid w:val="005E68B7"/>
    <w:rsid w:val="00613D4A"/>
    <w:rsid w:val="00616FCE"/>
    <w:rsid w:val="00633EC2"/>
    <w:rsid w:val="00635B8D"/>
    <w:rsid w:val="00635BA6"/>
    <w:rsid w:val="00654468"/>
    <w:rsid w:val="006550DA"/>
    <w:rsid w:val="00667372"/>
    <w:rsid w:val="0067595C"/>
    <w:rsid w:val="0068076F"/>
    <w:rsid w:val="006B6B78"/>
    <w:rsid w:val="006B7BFB"/>
    <w:rsid w:val="006C21E9"/>
    <w:rsid w:val="006D0223"/>
    <w:rsid w:val="006D7199"/>
    <w:rsid w:val="00700679"/>
    <w:rsid w:val="00701D05"/>
    <w:rsid w:val="00707B4D"/>
    <w:rsid w:val="00711F60"/>
    <w:rsid w:val="007313B0"/>
    <w:rsid w:val="00740D6D"/>
    <w:rsid w:val="00740D85"/>
    <w:rsid w:val="00741DA4"/>
    <w:rsid w:val="00747484"/>
    <w:rsid w:val="00753310"/>
    <w:rsid w:val="007602BF"/>
    <w:rsid w:val="00767A00"/>
    <w:rsid w:val="00775E18"/>
    <w:rsid w:val="00787E04"/>
    <w:rsid w:val="00792D60"/>
    <w:rsid w:val="007A12FC"/>
    <w:rsid w:val="007B5DCE"/>
    <w:rsid w:val="007C4A0E"/>
    <w:rsid w:val="007C554D"/>
    <w:rsid w:val="007D06E3"/>
    <w:rsid w:val="007E6316"/>
    <w:rsid w:val="007F0633"/>
    <w:rsid w:val="00802595"/>
    <w:rsid w:val="00804AD2"/>
    <w:rsid w:val="00817FC7"/>
    <w:rsid w:val="008204E2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D13"/>
    <w:rsid w:val="00886E7E"/>
    <w:rsid w:val="008909F0"/>
    <w:rsid w:val="00894110"/>
    <w:rsid w:val="008967BE"/>
    <w:rsid w:val="008A122D"/>
    <w:rsid w:val="008A396D"/>
    <w:rsid w:val="008A4D11"/>
    <w:rsid w:val="008C1582"/>
    <w:rsid w:val="008C2DA6"/>
    <w:rsid w:val="008D5579"/>
    <w:rsid w:val="008E6A5B"/>
    <w:rsid w:val="009031B8"/>
    <w:rsid w:val="009137C4"/>
    <w:rsid w:val="00913B50"/>
    <w:rsid w:val="0091406D"/>
    <w:rsid w:val="00922AFF"/>
    <w:rsid w:val="009234F8"/>
    <w:rsid w:val="009304F4"/>
    <w:rsid w:val="009308B7"/>
    <w:rsid w:val="009318D5"/>
    <w:rsid w:val="009321D1"/>
    <w:rsid w:val="00951B66"/>
    <w:rsid w:val="00952664"/>
    <w:rsid w:val="00952718"/>
    <w:rsid w:val="00952D24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3EC8"/>
    <w:rsid w:val="009C69B4"/>
    <w:rsid w:val="009D2F9A"/>
    <w:rsid w:val="009E228F"/>
    <w:rsid w:val="009F24E6"/>
    <w:rsid w:val="00A132F4"/>
    <w:rsid w:val="00A40022"/>
    <w:rsid w:val="00A4273A"/>
    <w:rsid w:val="00A42BA2"/>
    <w:rsid w:val="00A4662B"/>
    <w:rsid w:val="00A5638B"/>
    <w:rsid w:val="00A63EA6"/>
    <w:rsid w:val="00A74147"/>
    <w:rsid w:val="00A80774"/>
    <w:rsid w:val="00A84258"/>
    <w:rsid w:val="00A95271"/>
    <w:rsid w:val="00A97371"/>
    <w:rsid w:val="00A97415"/>
    <w:rsid w:val="00AA0BDA"/>
    <w:rsid w:val="00AA4893"/>
    <w:rsid w:val="00AB1525"/>
    <w:rsid w:val="00AC1816"/>
    <w:rsid w:val="00AD1E8F"/>
    <w:rsid w:val="00AE445B"/>
    <w:rsid w:val="00AE4C12"/>
    <w:rsid w:val="00AF18E5"/>
    <w:rsid w:val="00AF1932"/>
    <w:rsid w:val="00AF2BCE"/>
    <w:rsid w:val="00AF314C"/>
    <w:rsid w:val="00B027C9"/>
    <w:rsid w:val="00B140AA"/>
    <w:rsid w:val="00B14C0E"/>
    <w:rsid w:val="00B17E29"/>
    <w:rsid w:val="00B23130"/>
    <w:rsid w:val="00B2647F"/>
    <w:rsid w:val="00B277FC"/>
    <w:rsid w:val="00B37668"/>
    <w:rsid w:val="00B40242"/>
    <w:rsid w:val="00B47300"/>
    <w:rsid w:val="00B54BDB"/>
    <w:rsid w:val="00B73D12"/>
    <w:rsid w:val="00B73DC1"/>
    <w:rsid w:val="00B77166"/>
    <w:rsid w:val="00B80393"/>
    <w:rsid w:val="00B823EB"/>
    <w:rsid w:val="00B91BC5"/>
    <w:rsid w:val="00B927FD"/>
    <w:rsid w:val="00B96563"/>
    <w:rsid w:val="00BA11F1"/>
    <w:rsid w:val="00BA1DB0"/>
    <w:rsid w:val="00BA50D1"/>
    <w:rsid w:val="00BA7A54"/>
    <w:rsid w:val="00BB0026"/>
    <w:rsid w:val="00BB523F"/>
    <w:rsid w:val="00BB5B23"/>
    <w:rsid w:val="00BC5541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7F82"/>
    <w:rsid w:val="00C8742F"/>
    <w:rsid w:val="00C971B8"/>
    <w:rsid w:val="00CA25E9"/>
    <w:rsid w:val="00CA285C"/>
    <w:rsid w:val="00CA5B58"/>
    <w:rsid w:val="00CA626D"/>
    <w:rsid w:val="00CA6AB1"/>
    <w:rsid w:val="00CB3F30"/>
    <w:rsid w:val="00CD497D"/>
    <w:rsid w:val="00CD7506"/>
    <w:rsid w:val="00CD7E90"/>
    <w:rsid w:val="00D00077"/>
    <w:rsid w:val="00D011C3"/>
    <w:rsid w:val="00D04F5D"/>
    <w:rsid w:val="00D13C7B"/>
    <w:rsid w:val="00D21882"/>
    <w:rsid w:val="00D367D0"/>
    <w:rsid w:val="00D518D8"/>
    <w:rsid w:val="00D562EE"/>
    <w:rsid w:val="00D670B9"/>
    <w:rsid w:val="00D67554"/>
    <w:rsid w:val="00D710D1"/>
    <w:rsid w:val="00D82050"/>
    <w:rsid w:val="00D94486"/>
    <w:rsid w:val="00DA27F5"/>
    <w:rsid w:val="00DB3FF7"/>
    <w:rsid w:val="00DB7808"/>
    <w:rsid w:val="00DC0839"/>
    <w:rsid w:val="00DC3FAB"/>
    <w:rsid w:val="00DD0D67"/>
    <w:rsid w:val="00DE1E6A"/>
    <w:rsid w:val="00DE6050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64F3"/>
    <w:rsid w:val="00ED5D72"/>
    <w:rsid w:val="00EE6057"/>
    <w:rsid w:val="00EF545B"/>
    <w:rsid w:val="00EF6427"/>
    <w:rsid w:val="00F03AF7"/>
    <w:rsid w:val="00F06B98"/>
    <w:rsid w:val="00F10AA7"/>
    <w:rsid w:val="00F12E64"/>
    <w:rsid w:val="00F14EF6"/>
    <w:rsid w:val="00F16929"/>
    <w:rsid w:val="00F3129F"/>
    <w:rsid w:val="00F31DD3"/>
    <w:rsid w:val="00F50F06"/>
    <w:rsid w:val="00F576C7"/>
    <w:rsid w:val="00F609D6"/>
    <w:rsid w:val="00F6539E"/>
    <w:rsid w:val="00F6771B"/>
    <w:rsid w:val="00F725F9"/>
    <w:rsid w:val="00F75DA1"/>
    <w:rsid w:val="00F81573"/>
    <w:rsid w:val="00F86009"/>
    <w:rsid w:val="00F87170"/>
    <w:rsid w:val="00F94E34"/>
    <w:rsid w:val="00FB163F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868E-D76A-4DBD-9070-7F42FC36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21684</Words>
  <Characters>123599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Татьяна Ий. Овсянникова</cp:lastModifiedBy>
  <cp:revision>2</cp:revision>
  <cp:lastPrinted>2024-09-23T15:17:00Z</cp:lastPrinted>
  <dcterms:created xsi:type="dcterms:W3CDTF">2024-09-23T15:19:00Z</dcterms:created>
  <dcterms:modified xsi:type="dcterms:W3CDTF">2024-09-23T15:19:00Z</dcterms:modified>
</cp:coreProperties>
</file>