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4B74" w:rsidRPr="002863A1" w:rsidRDefault="00404B74" w:rsidP="00404B74">
      <w:pPr>
        <w:jc w:val="both"/>
        <w:rPr>
          <w:rFonts w:ascii="Times New Roman" w:hAnsi="Times New Roman" w:cs="Times New Roman"/>
          <w:sz w:val="24"/>
          <w:szCs w:val="24"/>
        </w:rPr>
      </w:pPr>
      <w:r w:rsidRPr="00F25AC0">
        <w:rPr>
          <w:rFonts w:ascii="Times New Roman" w:hAnsi="Times New Roman" w:cs="Times New Roman"/>
          <w:sz w:val="24"/>
          <w:szCs w:val="24"/>
        </w:rPr>
        <w:t>По предл</w:t>
      </w:r>
      <w:r w:rsidR="002863A1">
        <w:rPr>
          <w:rFonts w:ascii="Times New Roman" w:hAnsi="Times New Roman" w:cs="Times New Roman"/>
          <w:sz w:val="24"/>
          <w:szCs w:val="24"/>
        </w:rPr>
        <w:t xml:space="preserve">ожению Думы муниципального образования город-курорт Геленджик было проведено ЭАМ </w:t>
      </w:r>
      <w:r w:rsidR="002863A1" w:rsidRPr="002863A1">
        <w:rPr>
          <w:rFonts w:ascii="Times New Roman" w:hAnsi="Times New Roman" w:cs="Times New Roman"/>
          <w:sz w:val="24"/>
          <w:szCs w:val="24"/>
        </w:rPr>
        <w:t>«Анализ использования бюджетных ресурсов, выделенных для обеспечения деятельности (в том числе оказания услуг) по охране муниципальных учреждений (выборочно)</w:t>
      </w:r>
      <w:r w:rsidRPr="002863A1">
        <w:rPr>
          <w:rFonts w:ascii="Times New Roman" w:hAnsi="Times New Roman" w:cs="Times New Roman"/>
          <w:sz w:val="24"/>
          <w:szCs w:val="24"/>
        </w:rPr>
        <w:t>»</w:t>
      </w:r>
    </w:p>
    <w:p w:rsidR="002863A1" w:rsidRPr="00F25AC0" w:rsidRDefault="002863A1" w:rsidP="002863A1">
      <w:pPr>
        <w:jc w:val="both"/>
        <w:rPr>
          <w:rFonts w:ascii="Times New Roman" w:hAnsi="Times New Roman" w:cs="Times New Roman"/>
          <w:sz w:val="24"/>
          <w:szCs w:val="24"/>
        </w:rPr>
      </w:pPr>
      <w:r w:rsidRPr="00F25AC0">
        <w:rPr>
          <w:rFonts w:ascii="Times New Roman" w:hAnsi="Times New Roman" w:cs="Times New Roman"/>
          <w:sz w:val="24"/>
          <w:szCs w:val="24"/>
        </w:rPr>
        <w:t xml:space="preserve">В ходе экспертно-аналитического мероприятия </w:t>
      </w:r>
      <w:r>
        <w:rPr>
          <w:rFonts w:ascii="Times New Roman" w:hAnsi="Times New Roman" w:cs="Times New Roman"/>
          <w:sz w:val="24"/>
          <w:szCs w:val="24"/>
        </w:rPr>
        <w:t>установлено</w:t>
      </w:r>
      <w:r w:rsidRPr="00F25AC0">
        <w:rPr>
          <w:rFonts w:ascii="Times New Roman" w:hAnsi="Times New Roman" w:cs="Times New Roman"/>
          <w:sz w:val="24"/>
          <w:szCs w:val="24"/>
        </w:rPr>
        <w:t>:</w:t>
      </w:r>
    </w:p>
    <w:p w:rsidR="002863A1" w:rsidRDefault="002863A1" w:rsidP="002863A1">
      <w:pPr>
        <w:pStyle w:val="a4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-в </w:t>
      </w:r>
      <w:r w:rsidRPr="00D03E1C">
        <w:rPr>
          <w:rFonts w:ascii="Times New Roman" w:hAnsi="Times New Roman"/>
          <w:sz w:val="24"/>
          <w:szCs w:val="24"/>
        </w:rPr>
        <w:t xml:space="preserve"> 2024 году для обеспечения деятельности по охране муниципальных учреждений бюджетные средст</w:t>
      </w:r>
      <w:r>
        <w:rPr>
          <w:rFonts w:ascii="Times New Roman" w:hAnsi="Times New Roman"/>
          <w:sz w:val="24"/>
          <w:szCs w:val="24"/>
        </w:rPr>
        <w:t>ва были выделены 74 учреждениям с объемом средств 166,5 млн. рублей;</w:t>
      </w:r>
    </w:p>
    <w:p w:rsidR="002863A1" w:rsidRDefault="002863A1" w:rsidP="002863A1">
      <w:pPr>
        <w:pStyle w:val="a4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-</w:t>
      </w:r>
      <w:r w:rsidRPr="00D03E1C">
        <w:rPr>
          <w:rFonts w:ascii="Times New Roman" w:hAnsi="Times New Roman"/>
          <w:sz w:val="24"/>
          <w:szCs w:val="24"/>
        </w:rPr>
        <w:t xml:space="preserve"> в 2025 году - 75 учреждениям</w:t>
      </w:r>
      <w:r w:rsidRPr="00F25AC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 объемом средств 275 млн. рублей.</w:t>
      </w:r>
      <w:r w:rsidRPr="00F25AC0">
        <w:rPr>
          <w:rFonts w:ascii="Times New Roman" w:hAnsi="Times New Roman"/>
          <w:sz w:val="24"/>
          <w:szCs w:val="24"/>
        </w:rPr>
        <w:t xml:space="preserve">          </w:t>
      </w:r>
    </w:p>
    <w:p w:rsidR="002863A1" w:rsidRPr="00F93EC1" w:rsidRDefault="002863A1" w:rsidP="002863A1">
      <w:pPr>
        <w:pStyle w:val="s1"/>
        <w:spacing w:before="0" w:beforeAutospacing="0" w:after="0" w:afterAutospacing="0"/>
        <w:ind w:firstLine="709"/>
        <w:jc w:val="both"/>
        <w:rPr>
          <w:b/>
        </w:rPr>
      </w:pPr>
      <w:r w:rsidRPr="00F93EC1">
        <w:rPr>
          <w:b/>
        </w:rPr>
        <w:t>Основные нарушения и недостатки, установленные в ходе мероприятия:</w:t>
      </w:r>
    </w:p>
    <w:p w:rsidR="002863A1" w:rsidRDefault="002863A1" w:rsidP="002863A1">
      <w:pPr>
        <w:autoSpaceDE w:val="0"/>
        <w:autoSpaceDN w:val="0"/>
        <w:adjustRightInd w:val="0"/>
        <w:rPr>
          <w:u w:val="single"/>
        </w:rPr>
      </w:pPr>
      <w:r w:rsidRPr="002863A1">
        <w:rPr>
          <w:rFonts w:ascii="Times New Roman" w:hAnsi="Times New Roman" w:cs="Times New Roman"/>
          <w:sz w:val="24"/>
          <w:szCs w:val="24"/>
        </w:rPr>
        <w:t xml:space="preserve">1. </w:t>
      </w:r>
      <w:r w:rsidRPr="00660144">
        <w:rPr>
          <w:rFonts w:ascii="Times New Roman" w:hAnsi="Times New Roman" w:cs="Times New Roman"/>
          <w:sz w:val="24"/>
          <w:szCs w:val="24"/>
        </w:rPr>
        <w:t>Превышение объема доведенных бюджетных средств над исчисленными в соответствии с Положением о планировании бюджетных ассигнований  составило 27 139,61 тыс.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руб</w:t>
      </w:r>
      <w:r w:rsidRPr="00660144">
        <w:rPr>
          <w:u w:val="single"/>
        </w:rPr>
        <w:t>.</w:t>
      </w:r>
    </w:p>
    <w:p w:rsidR="002863A1" w:rsidRPr="002863A1" w:rsidRDefault="002863A1" w:rsidP="002863A1">
      <w:pPr>
        <w:pStyle w:val="s1"/>
        <w:spacing w:before="0" w:beforeAutospacing="0" w:after="0" w:afterAutospacing="0"/>
        <w:ind w:firstLine="709"/>
        <w:jc w:val="both"/>
      </w:pPr>
      <w:r w:rsidRPr="002863A1">
        <w:t>ГРБС, применив Приказ № 45 для расчета объема бюджетных ассигнований на закупку услуг охраны, нарушили нормы Положения о планировании бюджетных ассигнований.</w:t>
      </w:r>
    </w:p>
    <w:p w:rsidR="002863A1" w:rsidRPr="000F2B57" w:rsidRDefault="002863A1" w:rsidP="002863A1">
      <w:pPr>
        <w:pStyle w:val="s1"/>
        <w:spacing w:before="0" w:beforeAutospacing="0" w:after="0" w:afterAutospacing="0"/>
        <w:ind w:firstLine="709"/>
        <w:jc w:val="both"/>
      </w:pPr>
      <w:r w:rsidRPr="000F2B57">
        <w:t>В расчет объема бюджетных ассигнований бюджетных учреждений на 2025г должен был приниматься проиндексированный объем нормативных затрат на охрану утвержденный на 2024 год, для МКУ - проиндексированный объем бюджетных ассигнований на охрану утвержденный на 2024 год.</w:t>
      </w:r>
    </w:p>
    <w:p w:rsidR="002863A1" w:rsidRPr="000F2B57" w:rsidRDefault="002863A1" w:rsidP="002863A1">
      <w:pPr>
        <w:pStyle w:val="s1"/>
        <w:spacing w:before="0" w:beforeAutospacing="0" w:after="0" w:afterAutospacing="0"/>
        <w:ind w:firstLine="709"/>
        <w:jc w:val="both"/>
      </w:pPr>
      <w:r w:rsidRPr="002863A1">
        <w:rPr>
          <w:u w:val="single"/>
        </w:rPr>
        <w:t>2.</w:t>
      </w:r>
      <w:r w:rsidRPr="000F2B57">
        <w:t xml:space="preserve"> С одной стороны, у учреждений отсутствует документ, подтверждающий объем средств, доведенных на закупку услуг по охране, что служит препятствием  устанавливать НМЦК в пределах доведенных средств и как следствие приводит к излишним расходам и нарушению принципа эффективности использования бюджетных средств.</w:t>
      </w:r>
    </w:p>
    <w:p w:rsidR="002863A1" w:rsidRDefault="002863A1" w:rsidP="002863A1">
      <w:pPr>
        <w:pStyle w:val="s1"/>
        <w:spacing w:before="0" w:beforeAutospacing="0" w:after="0" w:afterAutospacing="0"/>
        <w:ind w:firstLine="709"/>
        <w:jc w:val="both"/>
      </w:pPr>
      <w:proofErr w:type="gramStart"/>
      <w:r w:rsidRPr="000F2B57">
        <w:t>С другой стороны, средства незапланированные, но израсходованные на охрану были доведены бюджетным учреждениям в целях обеспечения расходов на выполнение МЗ в части иных затрат, на которые теперь у Учреждения потенциально не хватит средств, что приводит к рискам не выполнения МЗ или оказания не качественной муниципальной услуги, работы, на выполнения которых были доведены субсидии.</w:t>
      </w:r>
      <w:proofErr w:type="gramEnd"/>
    </w:p>
    <w:p w:rsidR="002863A1" w:rsidRPr="000F2B57" w:rsidRDefault="002863A1" w:rsidP="002863A1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2863A1">
        <w:rPr>
          <w:rFonts w:ascii="Times New Roman" w:hAnsi="Times New Roman" w:cs="Times New Roman"/>
          <w:sz w:val="24"/>
          <w:szCs w:val="24"/>
        </w:rPr>
        <w:t>3.</w:t>
      </w:r>
      <w:r w:rsidRPr="000F2B57">
        <w:rPr>
          <w:rFonts w:ascii="Times New Roman" w:hAnsi="Times New Roman" w:cs="Times New Roman"/>
          <w:sz w:val="24"/>
          <w:szCs w:val="24"/>
        </w:rPr>
        <w:t xml:space="preserve"> Анализ контрактов, заключенных муниципальными учреждениями, показал, что 54 учреждениями (из 75) в первом полугодии 2025 года заключены контракты с теми же исполнителями что и в 2024 году, однако, не смотря на то, что качество услуг не изменилось, отмечается:</w:t>
      </w:r>
    </w:p>
    <w:p w:rsidR="002863A1" w:rsidRPr="000F2B57" w:rsidRDefault="002863A1" w:rsidP="002863A1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0F2B57">
        <w:rPr>
          <w:rFonts w:ascii="Times New Roman" w:hAnsi="Times New Roman" w:cs="Times New Roman"/>
          <w:sz w:val="24"/>
          <w:szCs w:val="24"/>
        </w:rPr>
        <w:t>-в отношении 51 учреждения - рост объема доведенных средств на 65,55% (или на 80 187,39тыс</w:t>
      </w:r>
      <w:proofErr w:type="gramStart"/>
      <w:r w:rsidRPr="000F2B57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0F2B57">
        <w:rPr>
          <w:rFonts w:ascii="Times New Roman" w:hAnsi="Times New Roman" w:cs="Times New Roman"/>
          <w:sz w:val="24"/>
          <w:szCs w:val="24"/>
        </w:rPr>
        <w:t>уб)  и рост законтрактованных средств на 74,98% (или на 77 355,97тыс.руб.);</w:t>
      </w:r>
    </w:p>
    <w:p w:rsidR="002863A1" w:rsidRPr="000F2B57" w:rsidRDefault="002863A1" w:rsidP="002863A1">
      <w:pPr>
        <w:pStyle w:val="s1"/>
        <w:spacing w:before="0" w:beforeAutospacing="0" w:after="0" w:afterAutospacing="0"/>
        <w:ind w:firstLine="709"/>
        <w:jc w:val="both"/>
      </w:pPr>
      <w:r w:rsidRPr="000F2B57">
        <w:t xml:space="preserve">-в отношении 3 учреждений отмечено </w:t>
      </w:r>
      <w:r w:rsidRPr="002863A1">
        <w:t>сн</w:t>
      </w:r>
      <w:r w:rsidRPr="000F2B57">
        <w:t>ижение объема доведенных бюджетных средств на 29,63% (или на 2 600,88тыс</w:t>
      </w:r>
      <w:proofErr w:type="gramStart"/>
      <w:r w:rsidRPr="000F2B57">
        <w:t>.р</w:t>
      </w:r>
      <w:proofErr w:type="gramEnd"/>
      <w:r w:rsidRPr="000F2B57">
        <w:t>уб.)</w:t>
      </w:r>
    </w:p>
    <w:p w:rsidR="002863A1" w:rsidRPr="00660144" w:rsidRDefault="002863A1" w:rsidP="002863A1">
      <w:pPr>
        <w:pStyle w:val="s1"/>
        <w:spacing w:before="0" w:beforeAutospacing="0" w:after="0" w:afterAutospacing="0"/>
        <w:ind w:firstLine="709"/>
        <w:jc w:val="both"/>
      </w:pPr>
      <w:bookmarkStart w:id="0" w:name="_GoBack"/>
      <w:bookmarkEnd w:id="0"/>
    </w:p>
    <w:p w:rsidR="002863A1" w:rsidRPr="00F25AC0" w:rsidRDefault="002863A1" w:rsidP="002863A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25AC0">
        <w:rPr>
          <w:rFonts w:ascii="Times New Roman" w:hAnsi="Times New Roman" w:cs="Times New Roman"/>
          <w:b/>
          <w:sz w:val="24"/>
          <w:szCs w:val="24"/>
        </w:rPr>
        <w:t xml:space="preserve">Предложения </w:t>
      </w:r>
    </w:p>
    <w:p w:rsidR="002863A1" w:rsidRDefault="002863A1" w:rsidP="002863A1">
      <w:pPr>
        <w:jc w:val="both"/>
        <w:rPr>
          <w:rFonts w:ascii="Times New Roman" w:hAnsi="Times New Roman" w:cs="Times New Roman"/>
          <w:sz w:val="24"/>
          <w:szCs w:val="24"/>
        </w:rPr>
      </w:pPr>
      <w:r w:rsidRPr="00780D62">
        <w:rPr>
          <w:rFonts w:ascii="Times New Roman" w:hAnsi="Times New Roman" w:cs="Times New Roman"/>
          <w:sz w:val="24"/>
          <w:szCs w:val="24"/>
        </w:rPr>
        <w:t xml:space="preserve">В целях повышения конкуренции, увеличения уровня экономии бюджетных средств и сокращения рисков не заключения контрактов рекомендовано до ноября 2025 года </w:t>
      </w:r>
      <w:r w:rsidRPr="002863A1">
        <w:rPr>
          <w:rFonts w:ascii="Times New Roman" w:hAnsi="Times New Roman" w:cs="Times New Roman"/>
          <w:sz w:val="24"/>
          <w:szCs w:val="24"/>
        </w:rPr>
        <w:t xml:space="preserve">провести конкурентные процедуры, направленные на заключение </w:t>
      </w:r>
      <w:proofErr w:type="gramStart"/>
      <w:r w:rsidRPr="002863A1">
        <w:rPr>
          <w:rFonts w:ascii="Times New Roman" w:hAnsi="Times New Roman" w:cs="Times New Roman"/>
          <w:sz w:val="24"/>
          <w:szCs w:val="24"/>
        </w:rPr>
        <w:t>контрактов</w:t>
      </w:r>
      <w:proofErr w:type="gramEnd"/>
      <w:r w:rsidRPr="002863A1">
        <w:rPr>
          <w:rFonts w:ascii="Times New Roman" w:hAnsi="Times New Roman" w:cs="Times New Roman"/>
          <w:sz w:val="24"/>
          <w:szCs w:val="24"/>
        </w:rPr>
        <w:t xml:space="preserve"> на оказание услуг по охране муниципальных учреждений на весь 2026 год </w:t>
      </w:r>
      <w:r w:rsidRPr="00780D62">
        <w:rPr>
          <w:rFonts w:ascii="Times New Roman" w:hAnsi="Times New Roman" w:cs="Times New Roman"/>
          <w:sz w:val="24"/>
          <w:szCs w:val="24"/>
        </w:rPr>
        <w:t>(с учетом доведенных ЛБО и отражения в обоснованиях (расчетах) к ПФХД фактически доведенных учреждениям средств на закупку услуг охраны).</w:t>
      </w:r>
    </w:p>
    <w:p w:rsidR="002863A1" w:rsidRPr="00780D62" w:rsidRDefault="002863A1" w:rsidP="002863A1">
      <w:pPr>
        <w:jc w:val="both"/>
        <w:rPr>
          <w:sz w:val="24"/>
          <w:szCs w:val="24"/>
        </w:rPr>
      </w:pPr>
      <w:r w:rsidRPr="00780D62">
        <w:rPr>
          <w:rFonts w:ascii="Times New Roman" w:hAnsi="Times New Roman" w:cs="Times New Roman"/>
          <w:sz w:val="24"/>
          <w:szCs w:val="24"/>
        </w:rPr>
        <w:t xml:space="preserve">В целях повышения налоговой базы предложено провести мероприятия с представителями иногородних ЧОО, направленные на регистрацию ими обособленных подразделений по месту оказания услуг - в муниципальном образовании город-курорт Геленджик  </w:t>
      </w:r>
    </w:p>
    <w:p w:rsidR="00BC580F" w:rsidRPr="002863A1" w:rsidRDefault="00BC580F" w:rsidP="00BC580F">
      <w:pPr>
        <w:rPr>
          <w:rFonts w:ascii="Times New Roman" w:hAnsi="Times New Roman" w:cs="Times New Roman"/>
          <w:sz w:val="24"/>
          <w:szCs w:val="24"/>
        </w:rPr>
      </w:pPr>
      <w:r w:rsidRPr="002863A1">
        <w:rPr>
          <w:rFonts w:ascii="Times New Roman" w:hAnsi="Times New Roman" w:cs="Times New Roman"/>
          <w:color w:val="000000"/>
          <w:sz w:val="24"/>
          <w:szCs w:val="24"/>
        </w:rPr>
        <w:t>Заключение  направлено в Думу муниципального образования город-курорт Геленджик, главе муниципального образования город-курорт Геленджик.</w:t>
      </w:r>
    </w:p>
    <w:p w:rsidR="0067623B" w:rsidRPr="00F25AC0" w:rsidRDefault="0067623B" w:rsidP="0067623B">
      <w:pPr>
        <w:pStyle w:val="a3"/>
        <w:ind w:left="1069" w:firstLine="0"/>
        <w:jc w:val="both"/>
        <w:rPr>
          <w:rFonts w:ascii="Times New Roman" w:hAnsi="Times New Roman" w:cs="Times New Roman"/>
          <w:sz w:val="24"/>
          <w:szCs w:val="24"/>
        </w:rPr>
      </w:pPr>
    </w:p>
    <w:sectPr w:rsidR="0067623B" w:rsidRPr="00F25AC0" w:rsidSect="008A45F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A549E"/>
    <w:multiLevelType w:val="hybridMultilevel"/>
    <w:tmpl w:val="7DD6EBA2"/>
    <w:lvl w:ilvl="0" w:tplc="9E8035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D41"/>
    <w:rsid w:val="00085E4D"/>
    <w:rsid w:val="00113210"/>
    <w:rsid w:val="001A3B51"/>
    <w:rsid w:val="002863A1"/>
    <w:rsid w:val="002B7F86"/>
    <w:rsid w:val="00397EC4"/>
    <w:rsid w:val="003D1DAA"/>
    <w:rsid w:val="003F02A8"/>
    <w:rsid w:val="00404B74"/>
    <w:rsid w:val="00427F9C"/>
    <w:rsid w:val="00445054"/>
    <w:rsid w:val="004662F9"/>
    <w:rsid w:val="00513F58"/>
    <w:rsid w:val="005448D3"/>
    <w:rsid w:val="0067623B"/>
    <w:rsid w:val="00753D35"/>
    <w:rsid w:val="007B7EEE"/>
    <w:rsid w:val="007C19B6"/>
    <w:rsid w:val="0080094A"/>
    <w:rsid w:val="00854D18"/>
    <w:rsid w:val="008A45F0"/>
    <w:rsid w:val="009071DB"/>
    <w:rsid w:val="00A06D41"/>
    <w:rsid w:val="00A11223"/>
    <w:rsid w:val="00AB61DB"/>
    <w:rsid w:val="00AF0CAE"/>
    <w:rsid w:val="00B34FA5"/>
    <w:rsid w:val="00B7485C"/>
    <w:rsid w:val="00BC580F"/>
    <w:rsid w:val="00BC58CD"/>
    <w:rsid w:val="00C83F38"/>
    <w:rsid w:val="00C872F1"/>
    <w:rsid w:val="00D878BE"/>
    <w:rsid w:val="00E913F5"/>
    <w:rsid w:val="00F25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13F5"/>
    <w:pPr>
      <w:ind w:left="720"/>
      <w:contextualSpacing/>
    </w:pPr>
  </w:style>
  <w:style w:type="paragraph" w:styleId="a4">
    <w:name w:val="No Spacing"/>
    <w:link w:val="a5"/>
    <w:uiPriority w:val="1"/>
    <w:qFormat/>
    <w:rsid w:val="00BC58CD"/>
    <w:pPr>
      <w:ind w:firstLine="0"/>
    </w:pPr>
    <w:rPr>
      <w:rFonts w:ascii="Calibri" w:eastAsia="Times New Roman" w:hAnsi="Calibri" w:cs="Times New Roman"/>
      <w:lang w:eastAsia="ru-RU"/>
    </w:rPr>
  </w:style>
  <w:style w:type="character" w:customStyle="1" w:styleId="a5">
    <w:name w:val="Без интервала Знак"/>
    <w:link w:val="a4"/>
    <w:uiPriority w:val="1"/>
    <w:rsid w:val="00BC58CD"/>
    <w:rPr>
      <w:rFonts w:ascii="Calibri" w:eastAsia="Times New Roman" w:hAnsi="Calibri" w:cs="Times New Roman"/>
      <w:lang w:eastAsia="ru-RU"/>
    </w:rPr>
  </w:style>
  <w:style w:type="paragraph" w:styleId="a6">
    <w:name w:val="Normal (Web)"/>
    <w:basedOn w:val="a"/>
    <w:rsid w:val="00BC58CD"/>
    <w:pPr>
      <w:suppressAutoHyphens/>
      <w:spacing w:before="280" w:after="280" w:line="276" w:lineRule="auto"/>
      <w:ind w:firstLine="0"/>
    </w:pPr>
    <w:rPr>
      <w:rFonts w:ascii="Calibri" w:eastAsia="Calibri" w:hAnsi="Calibri" w:cs="Calibri"/>
      <w:lang w:eastAsia="ar-SA"/>
    </w:rPr>
  </w:style>
  <w:style w:type="paragraph" w:customStyle="1" w:styleId="s1">
    <w:name w:val="s_1"/>
    <w:basedOn w:val="a"/>
    <w:rsid w:val="002863A1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13F5"/>
    <w:pPr>
      <w:ind w:left="720"/>
      <w:contextualSpacing/>
    </w:pPr>
  </w:style>
  <w:style w:type="paragraph" w:styleId="a4">
    <w:name w:val="No Spacing"/>
    <w:link w:val="a5"/>
    <w:uiPriority w:val="1"/>
    <w:qFormat/>
    <w:rsid w:val="00BC58CD"/>
    <w:pPr>
      <w:ind w:firstLine="0"/>
    </w:pPr>
    <w:rPr>
      <w:rFonts w:ascii="Calibri" w:eastAsia="Times New Roman" w:hAnsi="Calibri" w:cs="Times New Roman"/>
      <w:lang w:eastAsia="ru-RU"/>
    </w:rPr>
  </w:style>
  <w:style w:type="character" w:customStyle="1" w:styleId="a5">
    <w:name w:val="Без интервала Знак"/>
    <w:link w:val="a4"/>
    <w:uiPriority w:val="1"/>
    <w:rsid w:val="00BC58CD"/>
    <w:rPr>
      <w:rFonts w:ascii="Calibri" w:eastAsia="Times New Roman" w:hAnsi="Calibri" w:cs="Times New Roman"/>
      <w:lang w:eastAsia="ru-RU"/>
    </w:rPr>
  </w:style>
  <w:style w:type="paragraph" w:styleId="a6">
    <w:name w:val="Normal (Web)"/>
    <w:basedOn w:val="a"/>
    <w:rsid w:val="00BC58CD"/>
    <w:pPr>
      <w:suppressAutoHyphens/>
      <w:spacing w:before="280" w:after="280" w:line="276" w:lineRule="auto"/>
      <w:ind w:firstLine="0"/>
    </w:pPr>
    <w:rPr>
      <w:rFonts w:ascii="Calibri" w:eastAsia="Calibri" w:hAnsi="Calibri" w:cs="Calibri"/>
      <w:lang w:eastAsia="ar-SA"/>
    </w:rPr>
  </w:style>
  <w:style w:type="paragraph" w:customStyle="1" w:styleId="s1">
    <w:name w:val="s_1"/>
    <w:basedOn w:val="a"/>
    <w:rsid w:val="002863A1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7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493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КСП</dc:creator>
  <cp:keywords/>
  <dc:description/>
  <cp:lastModifiedBy>директор</cp:lastModifiedBy>
  <cp:revision>17</cp:revision>
  <dcterms:created xsi:type="dcterms:W3CDTF">2025-05-12T09:23:00Z</dcterms:created>
  <dcterms:modified xsi:type="dcterms:W3CDTF">2025-12-29T12:37:00Z</dcterms:modified>
</cp:coreProperties>
</file>