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10.10.2023 N 1659</w:t>
              <w:br/>
              <w:t xml:space="preserve">"О внесении изменений в постановление Правительства Российской Федерации от 10 марта 2022 г. N 336"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октября 2023 г. N 1659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ПОСТАНОВЛЕНИЕ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10 МАРТА 2022 Г. N 336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26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7" w:tooltip="Постановление Правительства РФ от 10.03.2022 N 336 (ред. от 04.10.2023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октября 2023 г. N 1659</w:t>
      </w:r>
    </w:p>
    <w:p>
      <w:pPr>
        <w:pStyle w:val="0"/>
        <w:jc w:val="center"/>
      </w:pPr>
      <w:r>
        <w:rPr>
          <w:sz w:val="20"/>
        </w:rPr>
      </w:r>
    </w:p>
    <w:bookmarkStart w:id="26" w:name="P26"/>
    <w:bookmarkEnd w:id="26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ПОСТАНОВЛЕНИЕ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10 МАРТА 2022 Г. N 336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8" w:tooltip="Постановление Правительства РФ от 10.03.2022 N 336 (ред. от 04.10.2023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11(8) и 11(9)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11(9). Оценка соблюдения обязательных требований к обороту отдельных видов продукции осуществляется до 1 января 2025 г. в соответствии с требованиями настоящего постановления с учетом особенностей, предусмотренных приложениями N 1 и 2 к настоящему постановлению.".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9" w:tooltip="Постановление Правительства РФ от 10.03.2022 N 336 (ред. от 04.10.2023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приложениями N 1 и 2 следующего содержания: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ОСОБЕННОСТИ</w:t>
      </w:r>
    </w:p>
    <w:p>
      <w:pPr>
        <w:pStyle w:val="0"/>
        <w:jc w:val="center"/>
      </w:pPr>
      <w:r>
        <w:rPr>
          <w:sz w:val="20"/>
        </w:rPr>
        <w:t xml:space="preserve">ОЦЕНКИ СОБЛЮДЕНИЯ ОБЯЗАТЕЛЬНЫХ ТРЕБОВАНИЙ К РОЗНИЧНОЙ</w:t>
      </w:r>
    </w:p>
    <w:p>
      <w:pPr>
        <w:pStyle w:val="0"/>
        <w:jc w:val="center"/>
      </w:pPr>
      <w:r>
        <w:rPr>
          <w:sz w:val="20"/>
        </w:rPr>
        <w:t xml:space="preserve">РЕАЛИЗАЦИИ ТАБАЧНОЙ И НИКОТИНСОДЕРЖАЩЕЙ ПРОДУКЦИИ, КАЛЬЯНОВ</w:t>
      </w:r>
    </w:p>
    <w:p>
      <w:pPr>
        <w:pStyle w:val="0"/>
        <w:jc w:val="center"/>
      </w:pPr>
      <w:r>
        <w:rPr>
          <w:sz w:val="20"/>
        </w:rPr>
        <w:t xml:space="preserve">И УСТРОЙСТВ ДЛЯ ПОТРЕБЛЕНИЯ НИКОТИНСОДЕРЖАЩЕЙ ПРОДУКЦИИ</w:t>
      </w:r>
    </w:p>
    <w:p>
      <w:pPr>
        <w:pStyle w:val="0"/>
        <w:jc w:val="center"/>
      </w:pPr>
      <w:r>
        <w:rPr>
          <w:sz w:val="20"/>
        </w:rPr>
        <w:t xml:space="preserve">В РАМКАХ ФЕДЕРАЛЬНОГО ГОСУДАРСТВЕННОГО КОНТРОЛЯ (НАДЗОРА)</w:t>
      </w:r>
    </w:p>
    <w:p>
      <w:pPr>
        <w:pStyle w:val="0"/>
        <w:jc w:val="center"/>
      </w:pPr>
      <w:r>
        <w:rPr>
          <w:sz w:val="20"/>
        </w:rPr>
        <w:t xml:space="preserve">В ОБЛАСТИ ЗАЩИТЫ ПРАВ ПОТРЕБИТЕЛЕЙ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w:history="0" r:id="rId10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внеплановых контрольных (надзорных) мероприятий, проводимых по согласованию с органами прокуратуры, предусмотренных абзацами вторым - четвертым подпункта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внеплановых контрольных (надзорных) мероприятий, проводимых без согласования с органами прокуратуры, предусмотренных абзацами вторым - пятым подпункта "б"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w:history="0" r:id="rId11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пунктом 3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применения положений пункта 2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</w:t>
      </w:r>
      <w:hyperlink w:history="0" r:id="rId12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- </w:t>
      </w:r>
      <w:hyperlink w:history="0" r:id="rId13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14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7 статьи 19</w:t>
        </w:r>
      </w:hyperlink>
      <w:r>
        <w:rPr>
          <w:sz w:val="20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w:history="0" r:id="rId15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r:id="rId16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"б" пункта 1 части 1 статьи 16</w:t>
        </w:r>
      </w:hyperlink>
      <w:r>
        <w:rPr>
          <w:sz w:val="20"/>
        </w:rPr>
        <w:t xml:space="preserve">, </w:t>
      </w:r>
      <w:hyperlink w:history="0" r:id="rId17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частью 3 статьи 18</w:t>
        </w:r>
      </w:hyperlink>
      <w:r>
        <w:rPr>
          <w:sz w:val="20"/>
        </w:rPr>
        <w:t xml:space="preserve">, </w:t>
      </w:r>
      <w:hyperlink w:history="0" r:id="rId18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частями 6</w:t>
        </w:r>
      </w:hyperlink>
      <w:r>
        <w:rPr>
          <w:sz w:val="20"/>
        </w:rPr>
        <w:t xml:space="preserve"> и </w:t>
      </w:r>
      <w:hyperlink w:history="0" r:id="rId19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8 статьи 19</w:t>
        </w:r>
      </w:hyperlink>
      <w:r>
        <w:rPr>
          <w:sz w:val="20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w:history="0" r:id="rId20" w:tooltip="Федеральный закон от 28.12.2009 N 381-ФЗ (ред. от 25.12.2023) &quot;Об основах государственного регулирования торговой деятельност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5 статьи 20.1</w:t>
        </w:r>
      </w:hyperlink>
      <w:r>
        <w:rPr>
          <w:sz w:val="20"/>
        </w:rP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пунктом 4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в ходе выездного обследования одновременно выявлены нарушения обязательных требований, предусмотренных пунктами 4 и 5 настоящего документа, проводится контрольное (надзорное) мероприятие в соответствии с пунктом 5 настоящего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ОСОБЕННОСТИ</w:t>
      </w:r>
    </w:p>
    <w:p>
      <w:pPr>
        <w:pStyle w:val="0"/>
        <w:jc w:val="center"/>
      </w:pPr>
      <w:r>
        <w:rPr>
          <w:sz w:val="20"/>
        </w:rPr>
        <w:t xml:space="preserve">ОЦЕНКИ СОБЛЮДЕНИЯ ОБЯЗАТЕЛЬНЫХ ТРЕБОВАНИЙ К РОЗНИЧНОЙ</w:t>
      </w:r>
    </w:p>
    <w:p>
      <w:pPr>
        <w:pStyle w:val="0"/>
        <w:jc w:val="center"/>
      </w:pPr>
      <w:r>
        <w:rPr>
          <w:sz w:val="20"/>
        </w:rPr>
        <w:t xml:space="preserve">ПРОДАЖЕ АЛКОГОЛЬНОЙ И СПИРТОСОДЕРЖАЩЕЙ ПРОДУКЦИИ</w:t>
      </w:r>
    </w:p>
    <w:p>
      <w:pPr>
        <w:pStyle w:val="0"/>
        <w:jc w:val="center"/>
      </w:pPr>
      <w:r>
        <w:rPr>
          <w:sz w:val="20"/>
        </w:rPr>
        <w:t xml:space="preserve">(В ТОМ ЧИСЛЕ ПРИ ОКАЗАНИИ УСЛУГ ОБЩЕСТВЕННОГО ПИТАНИЯ)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w:history="0" r:id="rId21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внеплановых контрольных (надзорных) мероприятий, проводимых по согласованию с органами прокуратуры, предусмотренных абзацами вторым - четвертым подпункта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внеплановых контрольных (надзорных) мероприятий, проводимых без согласования с органами прокуратуры, предусмотренных абзацами вторым - пятым и десятым подпункта "б"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w:history="0" r:id="rId22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пунктом 3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применения положений пункта 2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</w:t>
      </w:r>
      <w:hyperlink w:history="0" r:id="rId23" w:tooltip="Федеральный закон от 22.11.1995 N 171-ФЗ (ред. от 08.08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9.2024) {КонсультантПлюс}">
        <w:r>
          <w:rPr>
            <w:sz w:val="20"/>
            <w:color w:val="0000ff"/>
          </w:rPr>
          <w:t xml:space="preserve">пунктом 10 статьи 16</w:t>
        </w:r>
      </w:hyperlink>
      <w:r>
        <w:rPr>
          <w:sz w:val="20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w:history="0" r:id="rId24" w:tooltip="Федеральный закон от 22.11.1995 N 171-ФЗ (ред. от 08.08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9.2024)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, </w:t>
      </w:r>
      <w:hyperlink w:history="0" r:id="rId25" w:tooltip="Федеральный закон от 22.11.1995 N 171-ФЗ (ред. от 08.08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9.2024) {КонсультантПлюс}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 - </w:t>
      </w:r>
      <w:hyperlink w:history="0" r:id="rId26" w:tooltip="Федеральный закон от 22.11.1995 N 171-ФЗ (ред. от 08.08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9.2024)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r:id="rId27" w:tooltip="Федеральный закон от 22.11.1995 N 171-ФЗ (ред. от 08.08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9.2024)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- </w:t>
      </w:r>
      <w:hyperlink w:history="0" r:id="rId28" w:tooltip="Федеральный закон от 22.11.1995 N 171-ФЗ (ред. от 08.08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9.2024) {КонсультантПлюс}">
        <w:r>
          <w:rPr>
            <w:sz w:val="20"/>
            <w:color w:val="0000ff"/>
          </w:rPr>
          <w:t xml:space="preserve">15 пункта 2</w:t>
        </w:r>
      </w:hyperlink>
      <w:r>
        <w:rPr>
          <w:sz w:val="20"/>
        </w:rPr>
        <w:t xml:space="preserve">, </w:t>
      </w:r>
      <w:hyperlink w:history="0" r:id="rId29" w:tooltip="Федеральный закон от 22.11.1995 N 171-ФЗ (ред. от 08.08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9.2024) {КонсультантПлюс}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, </w:t>
      </w:r>
      <w:hyperlink w:history="0" r:id="rId30" w:tooltip="Федеральный закон от 22.11.1995 N 171-ФЗ (ред. от 08.08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9.2024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31" w:tooltip="Федеральный закон от 22.11.1995 N 171-ФЗ (ред. от 08.08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9.2024) {КонсультантПлюс}">
        <w:r>
          <w:rPr>
            <w:sz w:val="20"/>
            <w:color w:val="0000ff"/>
          </w:rPr>
          <w:t xml:space="preserve">9 статьи 16</w:t>
        </w:r>
      </w:hyperlink>
      <w:r>
        <w:rPr>
          <w:sz w:val="20"/>
        </w:rPr>
        <w:t xml:space="preserve"> и </w:t>
      </w:r>
      <w:hyperlink w:history="0" r:id="rId32" w:tooltip="Федеральный закон от 22.11.1995 N 171-ФЗ (ред. от 08.08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9.2024) {КонсультантПлюс}">
        <w:r>
          <w:rPr>
            <w:sz w:val="20"/>
            <w:color w:val="0000ff"/>
          </w:rPr>
          <w:t xml:space="preserve">абзацем девятым пункта 1 статьи 26</w:t>
        </w:r>
      </w:hyperlink>
      <w:r>
        <w:rPr>
          <w:sz w:val="20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пунктом 4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в ходе выездного обследования одновременно выявлены нарушения обязательных требований, предусмотренных пунктами 4 и 5 настоящего документа, проводится контрольное (надзорное) мероприятие в соответствии с пунктом 5 настоящего документа.".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10.10.2023 N 1659</w:t>
            <w:br/>
            <w:t>"О внесении изменений в постановление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8977" TargetMode = "External"/>
	<Relationship Id="rId8" Type="http://schemas.openxmlformats.org/officeDocument/2006/relationships/hyperlink" Target="https://login.consultant.ru/link/?req=doc&amp;base=LAW&amp;n=458977" TargetMode = "External"/>
	<Relationship Id="rId9" Type="http://schemas.openxmlformats.org/officeDocument/2006/relationships/hyperlink" Target="https://login.consultant.ru/link/?req=doc&amp;base=LAW&amp;n=458977" TargetMode = "External"/>
	<Relationship Id="rId10" Type="http://schemas.openxmlformats.org/officeDocument/2006/relationships/hyperlink" Target="https://login.consultant.ru/link/?req=doc&amp;base=LAW&amp;n=480240&amp;dst=100248" TargetMode = "External"/>
	<Relationship Id="rId11" Type="http://schemas.openxmlformats.org/officeDocument/2006/relationships/hyperlink" Target="https://login.consultant.ru/link/?req=doc&amp;base=LAW&amp;n=480240&amp;dst=101116" TargetMode = "External"/>
	<Relationship Id="rId12" Type="http://schemas.openxmlformats.org/officeDocument/2006/relationships/hyperlink" Target="https://login.consultant.ru/link/?req=doc&amp;base=LAW&amp;n=454938&amp;dst=56" TargetMode = "External"/>
	<Relationship Id="rId13" Type="http://schemas.openxmlformats.org/officeDocument/2006/relationships/hyperlink" Target="https://login.consultant.ru/link/?req=doc&amp;base=LAW&amp;n=454938&amp;dst=58" TargetMode = "External"/>
	<Relationship Id="rId14" Type="http://schemas.openxmlformats.org/officeDocument/2006/relationships/hyperlink" Target="https://login.consultant.ru/link/?req=doc&amp;base=LAW&amp;n=454938&amp;dst=37" TargetMode = "External"/>
	<Relationship Id="rId15" Type="http://schemas.openxmlformats.org/officeDocument/2006/relationships/hyperlink" Target="https://login.consultant.ru/link/?req=doc&amp;base=LAW&amp;n=454938&amp;dst=18" TargetMode = "External"/>
	<Relationship Id="rId16" Type="http://schemas.openxmlformats.org/officeDocument/2006/relationships/hyperlink" Target="https://login.consultant.ru/link/?req=doc&amp;base=LAW&amp;n=454938&amp;dst=100358" TargetMode = "External"/>
	<Relationship Id="rId17" Type="http://schemas.openxmlformats.org/officeDocument/2006/relationships/hyperlink" Target="https://login.consultant.ru/link/?req=doc&amp;base=LAW&amp;n=454938&amp;dst=7" TargetMode = "External"/>
	<Relationship Id="rId18" Type="http://schemas.openxmlformats.org/officeDocument/2006/relationships/hyperlink" Target="https://login.consultant.ru/link/?req=doc&amp;base=LAW&amp;n=454938&amp;dst=36" TargetMode = "External"/>
	<Relationship Id="rId19" Type="http://schemas.openxmlformats.org/officeDocument/2006/relationships/hyperlink" Target="https://login.consultant.ru/link/?req=doc&amp;base=LAW&amp;n=454938&amp;dst=100335" TargetMode = "External"/>
	<Relationship Id="rId20" Type="http://schemas.openxmlformats.org/officeDocument/2006/relationships/hyperlink" Target="https://login.consultant.ru/link/?req=doc&amp;base=LAW&amp;n=454235&amp;dst=114" TargetMode = "External"/>
	<Relationship Id="rId21" Type="http://schemas.openxmlformats.org/officeDocument/2006/relationships/hyperlink" Target="https://login.consultant.ru/link/?req=doc&amp;base=LAW&amp;n=480240&amp;dst=100248" TargetMode = "External"/>
	<Relationship Id="rId22" Type="http://schemas.openxmlformats.org/officeDocument/2006/relationships/hyperlink" Target="https://login.consultant.ru/link/?req=doc&amp;base=LAW&amp;n=480240&amp;dst=101116" TargetMode = "External"/>
	<Relationship Id="rId23" Type="http://schemas.openxmlformats.org/officeDocument/2006/relationships/hyperlink" Target="https://login.consultant.ru/link/?req=doc&amp;base=LAW&amp;n=470029&amp;dst=100962" TargetMode = "External"/>
	<Relationship Id="rId24" Type="http://schemas.openxmlformats.org/officeDocument/2006/relationships/hyperlink" Target="https://login.consultant.ru/link/?req=doc&amp;base=LAW&amp;n=470029&amp;dst=1386" TargetMode = "External"/>
	<Relationship Id="rId25" Type="http://schemas.openxmlformats.org/officeDocument/2006/relationships/hyperlink" Target="https://login.consultant.ru/link/?req=doc&amp;base=LAW&amp;n=470029&amp;dst=100818" TargetMode = "External"/>
	<Relationship Id="rId26" Type="http://schemas.openxmlformats.org/officeDocument/2006/relationships/hyperlink" Target="https://login.consultant.ru/link/?req=doc&amp;base=LAW&amp;n=470029&amp;dst=100832" TargetMode = "External"/>
	<Relationship Id="rId27" Type="http://schemas.openxmlformats.org/officeDocument/2006/relationships/hyperlink" Target="https://login.consultant.ru/link/?req=doc&amp;base=LAW&amp;n=470029&amp;dst=1388" TargetMode = "External"/>
	<Relationship Id="rId28" Type="http://schemas.openxmlformats.org/officeDocument/2006/relationships/hyperlink" Target="https://login.consultant.ru/link/?req=doc&amp;base=LAW&amp;n=470029&amp;dst=100843" TargetMode = "External"/>
	<Relationship Id="rId29" Type="http://schemas.openxmlformats.org/officeDocument/2006/relationships/hyperlink" Target="https://login.consultant.ru/link/?req=doc&amp;base=LAW&amp;n=470029&amp;dst=941" TargetMode = "External"/>
	<Relationship Id="rId30" Type="http://schemas.openxmlformats.org/officeDocument/2006/relationships/hyperlink" Target="https://login.consultant.ru/link/?req=doc&amp;base=LAW&amp;n=470029&amp;dst=100852" TargetMode = "External"/>
	<Relationship Id="rId31" Type="http://schemas.openxmlformats.org/officeDocument/2006/relationships/hyperlink" Target="https://login.consultant.ru/link/?req=doc&amp;base=LAW&amp;n=470029&amp;dst=100871" TargetMode = "External"/>
	<Relationship Id="rId32" Type="http://schemas.openxmlformats.org/officeDocument/2006/relationships/hyperlink" Target="https://login.consultant.ru/link/?req=doc&amp;base=LAW&amp;n=470029&amp;dst=166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10.10.2023 N 1659
"О внесении изменений в постановление Правительства Российской Федерации от 10 марта 2022 г. N 336"</dc:title>
  <dcterms:created xsi:type="dcterms:W3CDTF">2024-11-26T12:58:37Z</dcterms:created>
</cp:coreProperties>
</file>