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55" w:rsidRDefault="00712755" w:rsidP="00712755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D067E" w:rsidRPr="00984D65" w:rsidRDefault="000F06BA" w:rsidP="00746B7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8E"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Информация о результатах </w:t>
      </w:r>
      <w:r w:rsidR="00746B72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 w:rsidR="00FD067E" w:rsidRPr="00984D65">
        <w:rPr>
          <w:rFonts w:ascii="Times New Roman" w:hAnsi="Times New Roman" w:cs="Times New Roman"/>
          <w:b/>
          <w:sz w:val="28"/>
          <w:szCs w:val="28"/>
        </w:rPr>
        <w:t>«</w:t>
      </w:r>
      <w:r w:rsidR="00984D65" w:rsidRPr="00984D65">
        <w:rPr>
          <w:rFonts w:ascii="Times New Roman" w:hAnsi="Times New Roman" w:cs="Times New Roman"/>
          <w:sz w:val="28"/>
          <w:szCs w:val="28"/>
        </w:rPr>
        <w:t>Анализ деятельности управления земельных отношений и управления муниципального земельного контроля администрации муниципального образования город-курорт Геленджик по мобилизации неналоговых доходов в местный бюджет в 2023 году и за истекший период 2024 года (иные периоды в рамках достижения целей мероприятия)</w:t>
      </w:r>
      <w:r w:rsidR="00DF1FE7" w:rsidRPr="00984D65">
        <w:rPr>
          <w:rFonts w:ascii="Times New Roman" w:hAnsi="Times New Roman" w:cs="Times New Roman"/>
          <w:sz w:val="28"/>
          <w:szCs w:val="28"/>
        </w:rPr>
        <w:t xml:space="preserve">» </w:t>
      </w:r>
      <w:r w:rsidR="00DF1FE7" w:rsidRPr="00984D6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F06BA" w:rsidRPr="00DF1FE7" w:rsidRDefault="000F06BA" w:rsidP="000F06B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FE7" w:rsidRPr="00984D65" w:rsidRDefault="000F06BA" w:rsidP="00DF1FE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F1FE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84D65" w:rsidRPr="00984D65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984D65" w:rsidRPr="00984D65">
        <w:rPr>
          <w:rFonts w:ascii="Times New Roman" w:hAnsi="Times New Roman" w:cs="Times New Roman"/>
          <w:sz w:val="28"/>
          <w:szCs w:val="28"/>
        </w:rPr>
        <w:t xml:space="preserve"> 12 раздела </w:t>
      </w:r>
      <w:r w:rsidR="00984D65" w:rsidRPr="00984D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4D65" w:rsidRPr="00984D65">
        <w:rPr>
          <w:rFonts w:ascii="Times New Roman" w:hAnsi="Times New Roman" w:cs="Times New Roman"/>
          <w:sz w:val="28"/>
          <w:szCs w:val="28"/>
        </w:rPr>
        <w:t xml:space="preserve">  Плана работы Контрольно-счетной палаты муниципального образования город-курорт Геленджик на 2024 год, утвержденного распоряжением председателя Контрольно-счетной палаты муниципального образования город-курорт Геленджик от 29 декабря  2023 года  № 46 проведен анализ деятельности управлений администрации по  мобилизации неналоговых доходов в местный бюджет.</w:t>
      </w:r>
    </w:p>
    <w:p w:rsidR="0030276D" w:rsidRDefault="00DF1FE7" w:rsidP="00DF1FE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247D9">
        <w:rPr>
          <w:sz w:val="28"/>
          <w:szCs w:val="28"/>
        </w:rPr>
        <w:t xml:space="preserve"> </w:t>
      </w:r>
      <w:r w:rsidR="00FD067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D067E" w:rsidRPr="00FD067E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проведенного мероприятия в деятельности объект</w:t>
      </w:r>
      <w:r w:rsidR="00984D6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D067E" w:rsidRPr="00FD067E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выявлены нарушения </w:t>
      </w:r>
      <w:r w:rsidR="00984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D067E" w:rsidRPr="00FD067E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недостатки</w:t>
      </w:r>
      <w:r w:rsidR="00D265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2D59" w:rsidRDefault="007A2D59" w:rsidP="007A2D59">
      <w:pPr>
        <w:pStyle w:val="af"/>
        <w:numPr>
          <w:ilvl w:val="0"/>
          <w:numId w:val="26"/>
        </w:numPr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Планом мероприятий, направленных на увеличение наполняемости доходной части консолидированного бюджета Краснодарского края, по муниципальному образованию город-курорт Геленджик на 2024 год учтены рекомендации контрольно-счетной палаты по предыдущим экспертно-аналитическим мероприятиям.</w:t>
      </w:r>
    </w:p>
    <w:p w:rsidR="007A2D59" w:rsidRDefault="007A2D59" w:rsidP="007A2D59">
      <w:pPr>
        <w:pStyle w:val="af"/>
        <w:numPr>
          <w:ilvl w:val="0"/>
          <w:numId w:val="26"/>
        </w:numPr>
        <w:ind w:left="-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 мероприятий, направленных на увеличение наполняемости доходной части консолидированного бюджета Краснодарского края, по муниципальному образованию город-курорт Геленджик на 2024 год не содержит мероприятия по возмещению расходов бюджета муниципального образования город-курорт Геленджик на перемещение (демонтаж) временных сооружений, размещенных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Федерации.</w:t>
      </w:r>
      <w:proofErr w:type="gramEnd"/>
    </w:p>
    <w:p w:rsidR="007A2D59" w:rsidRPr="0093326F" w:rsidRDefault="007A2D59" w:rsidP="007A2D59">
      <w:pPr>
        <w:pStyle w:val="af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93326F">
        <w:rPr>
          <w:rFonts w:ascii="Times New Roman" w:hAnsi="Times New Roman"/>
          <w:sz w:val="28"/>
          <w:szCs w:val="28"/>
        </w:rPr>
        <w:t>При этом фактические расходы бюджета на перемещение (демонтаж) временных сооружений составили:</w:t>
      </w:r>
    </w:p>
    <w:p w:rsidR="007A2D59" w:rsidRPr="0093326F" w:rsidRDefault="007A2D59" w:rsidP="007A2D59">
      <w:pPr>
        <w:pStyle w:val="af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93326F">
        <w:rPr>
          <w:rFonts w:ascii="Times New Roman" w:hAnsi="Times New Roman"/>
          <w:sz w:val="28"/>
          <w:szCs w:val="28"/>
        </w:rPr>
        <w:tab/>
        <w:t>- 2023 году  8 202 919,39 рублей;</w:t>
      </w:r>
    </w:p>
    <w:p w:rsidR="007A2D59" w:rsidRPr="0093326F" w:rsidRDefault="007A2D59" w:rsidP="007A2D59">
      <w:pPr>
        <w:pStyle w:val="af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93326F">
        <w:rPr>
          <w:rFonts w:ascii="Times New Roman" w:hAnsi="Times New Roman"/>
          <w:sz w:val="28"/>
          <w:szCs w:val="28"/>
        </w:rPr>
        <w:tab/>
        <w:t>- по состоянию на 01.09.2024 года 4 042 593,49 рублей.</w:t>
      </w:r>
    </w:p>
    <w:p w:rsidR="007A2D59" w:rsidRPr="0093326F" w:rsidRDefault="007A2D59" w:rsidP="007A2D59">
      <w:pPr>
        <w:pStyle w:val="af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93326F">
        <w:rPr>
          <w:rFonts w:ascii="Times New Roman" w:hAnsi="Times New Roman"/>
          <w:sz w:val="28"/>
          <w:szCs w:val="28"/>
        </w:rPr>
        <w:t>Фактически возмещено в бюджет муниципального образования:</w:t>
      </w:r>
    </w:p>
    <w:p w:rsidR="007A2D59" w:rsidRPr="0093326F" w:rsidRDefault="007A2D59" w:rsidP="007A2D59">
      <w:pPr>
        <w:pStyle w:val="af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93326F">
        <w:rPr>
          <w:rFonts w:ascii="Times New Roman" w:hAnsi="Times New Roman"/>
          <w:sz w:val="28"/>
          <w:szCs w:val="28"/>
        </w:rPr>
        <w:tab/>
        <w:t>- в 2023 году 128 100,0 рублей;</w:t>
      </w:r>
    </w:p>
    <w:p w:rsidR="007A2D59" w:rsidRPr="0093326F" w:rsidRDefault="007A2D59" w:rsidP="007A2D59">
      <w:pPr>
        <w:pStyle w:val="af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93326F">
        <w:rPr>
          <w:rFonts w:ascii="Times New Roman" w:hAnsi="Times New Roman"/>
          <w:sz w:val="28"/>
          <w:szCs w:val="28"/>
        </w:rPr>
        <w:tab/>
        <w:t>-по состоянию на 01.07.2024 года 54167,3 рублей.</w:t>
      </w:r>
    </w:p>
    <w:p w:rsidR="007A2D59" w:rsidRPr="00944134" w:rsidRDefault="007A2D59" w:rsidP="007A2D59">
      <w:pPr>
        <w:pStyle w:val="af"/>
        <w:ind w:left="-709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3326F">
        <w:rPr>
          <w:rFonts w:ascii="Times New Roman" w:hAnsi="Times New Roman"/>
          <w:sz w:val="28"/>
          <w:szCs w:val="28"/>
        </w:rPr>
        <w:tab/>
      </w:r>
      <w:r w:rsidRPr="00944134">
        <w:rPr>
          <w:rFonts w:ascii="Times New Roman" w:hAnsi="Times New Roman"/>
          <w:b/>
          <w:i/>
          <w:sz w:val="28"/>
          <w:szCs w:val="28"/>
        </w:rPr>
        <w:t xml:space="preserve">Таким образом, не возмещенные расходы бюджета </w:t>
      </w:r>
      <w:r>
        <w:rPr>
          <w:rFonts w:ascii="Times New Roman" w:hAnsi="Times New Roman"/>
          <w:b/>
          <w:i/>
          <w:sz w:val="28"/>
          <w:szCs w:val="28"/>
        </w:rPr>
        <w:t xml:space="preserve">на перемещение (демонтаж) </w:t>
      </w:r>
      <w:r w:rsidRPr="00944134">
        <w:rPr>
          <w:rFonts w:ascii="Times New Roman" w:hAnsi="Times New Roman"/>
          <w:b/>
          <w:i/>
          <w:sz w:val="28"/>
          <w:szCs w:val="28"/>
        </w:rPr>
        <w:t>за период 2023-01.09.2024 годы составили 12 063 245,58 рублей.</w:t>
      </w:r>
    </w:p>
    <w:p w:rsidR="007A2D59" w:rsidRDefault="007A2D59" w:rsidP="007A2D59">
      <w:pPr>
        <w:pStyle w:val="af"/>
        <w:numPr>
          <w:ilvl w:val="0"/>
          <w:numId w:val="26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26ACA">
        <w:rPr>
          <w:rFonts w:ascii="Times New Roman" w:hAnsi="Times New Roman"/>
          <w:sz w:val="28"/>
          <w:szCs w:val="28"/>
        </w:rPr>
        <w:t>Выявлены факты искажения информации о сумме поступивших доход</w:t>
      </w:r>
      <w:r>
        <w:rPr>
          <w:rFonts w:ascii="Times New Roman" w:hAnsi="Times New Roman"/>
          <w:sz w:val="28"/>
          <w:szCs w:val="28"/>
        </w:rPr>
        <w:t>ов</w:t>
      </w:r>
      <w:r w:rsidRPr="00826ACA">
        <w:rPr>
          <w:rFonts w:ascii="Times New Roman" w:hAnsi="Times New Roman"/>
          <w:sz w:val="28"/>
          <w:szCs w:val="28"/>
        </w:rPr>
        <w:t xml:space="preserve"> в бюджет муниципального образования город-курорт Геленджик. Так, </w:t>
      </w:r>
      <w:r>
        <w:rPr>
          <w:rFonts w:ascii="Times New Roman" w:hAnsi="Times New Roman"/>
          <w:sz w:val="28"/>
          <w:szCs w:val="28"/>
        </w:rPr>
        <w:t xml:space="preserve">показатели исполнения  отраженные </w:t>
      </w:r>
      <w:r w:rsidRPr="00826ACA">
        <w:rPr>
          <w:rFonts w:ascii="Times New Roman" w:hAnsi="Times New Roman"/>
          <w:sz w:val="28"/>
          <w:szCs w:val="28"/>
        </w:rPr>
        <w:t xml:space="preserve">в отчете </w:t>
      </w:r>
      <w:r w:rsidRPr="00720B79">
        <w:rPr>
          <w:rFonts w:ascii="Times New Roman" w:hAnsi="Times New Roman"/>
          <w:sz w:val="28"/>
          <w:szCs w:val="28"/>
        </w:rPr>
        <w:t>об исполнении плана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0B79">
        <w:rPr>
          <w:rFonts w:ascii="Times New Roman" w:hAnsi="Times New Roman"/>
          <w:sz w:val="28"/>
          <w:szCs w:val="28"/>
        </w:rPr>
        <w:t>направленных на увеличение наполняемости доходной части консолидированного бюджета Краснодарского края, по муниципальному образованию город-курорт Геленджик, предоставленн</w:t>
      </w:r>
      <w:r>
        <w:rPr>
          <w:rFonts w:ascii="Times New Roman" w:hAnsi="Times New Roman"/>
          <w:sz w:val="28"/>
          <w:szCs w:val="28"/>
        </w:rPr>
        <w:t>о</w:t>
      </w:r>
      <w:r w:rsidRPr="00720B79">
        <w:rPr>
          <w:rFonts w:ascii="Times New Roman" w:hAnsi="Times New Roman"/>
          <w:sz w:val="28"/>
          <w:szCs w:val="28"/>
        </w:rPr>
        <w:t>м управлением земельного контроля</w:t>
      </w:r>
      <w:r>
        <w:rPr>
          <w:rFonts w:ascii="Times New Roman" w:hAnsi="Times New Roman"/>
          <w:sz w:val="28"/>
          <w:szCs w:val="28"/>
        </w:rPr>
        <w:t xml:space="preserve"> не соответствуют данным учета, предоставленным МКУ «ЦБ ОМС».</w:t>
      </w:r>
    </w:p>
    <w:p w:rsidR="007A2D59" w:rsidRPr="007A2D59" w:rsidRDefault="007A2D59" w:rsidP="007A2D59">
      <w:pPr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A2D59">
        <w:rPr>
          <w:rFonts w:ascii="Times New Roman" w:hAnsi="Times New Roman" w:cs="Times New Roman"/>
          <w:sz w:val="28"/>
          <w:szCs w:val="28"/>
        </w:rPr>
        <w:t>4.</w:t>
      </w:r>
      <w:r w:rsidRPr="007A2D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2D59">
        <w:rPr>
          <w:rFonts w:ascii="Times New Roman" w:hAnsi="Times New Roman" w:cs="Times New Roman"/>
          <w:sz w:val="28"/>
          <w:szCs w:val="28"/>
        </w:rPr>
        <w:t>В н</w:t>
      </w:r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арушение </w:t>
      </w:r>
      <w:hyperlink r:id="rId9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пункта 2 статьи 264.1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статей 9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402-ФЗ, </w:t>
      </w:r>
      <w:hyperlink r:id="rId12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пунктов 17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35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36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43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65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Министерства финансов Российской Федерации от 31.12.2016 № 256н, </w:t>
      </w:r>
      <w:hyperlink r:id="rId17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пунктов 7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34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35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стандарта бухгалтерского учета для организаций государственного сектора</w:t>
      </w:r>
      <w:proofErr w:type="gramEnd"/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 "Доходы", утвержденный приказом Министерства финансов Российской Федерации от 27.02.2018 № 32н, </w:t>
      </w:r>
      <w:hyperlink r:id="rId20" w:history="1">
        <w:r w:rsidRPr="007A2D59">
          <w:rPr>
            <w:rFonts w:ascii="Times New Roman" w:hAnsi="Times New Roman" w:cs="Times New Roman"/>
            <w:sz w:val="28"/>
            <w:szCs w:val="28"/>
            <w:lang w:eastAsia="ru-RU"/>
          </w:rPr>
          <w:t>абзаца третьего пункта 3</w:t>
        </w:r>
      </w:hyperlink>
      <w:r w:rsidRPr="007A2D59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Инструкции N 157н у</w:t>
      </w:r>
      <w:r w:rsidRPr="007A2D59">
        <w:rPr>
          <w:rFonts w:ascii="Times New Roman" w:hAnsi="Times New Roman" w:cs="Times New Roman"/>
          <w:sz w:val="28"/>
          <w:szCs w:val="28"/>
        </w:rPr>
        <w:t xml:space="preserve">чет начисленных доходов по неустойке за неисполнение решений суда не осуществляется. </w:t>
      </w:r>
    </w:p>
    <w:p w:rsidR="007A2D59" w:rsidRPr="007A2D59" w:rsidRDefault="007A2D59" w:rsidP="007A2D59">
      <w:pPr>
        <w:pStyle w:val="af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2D59">
        <w:rPr>
          <w:rFonts w:ascii="Times New Roman" w:hAnsi="Times New Roman" w:cs="Times New Roman"/>
          <w:b/>
          <w:i/>
          <w:sz w:val="28"/>
          <w:szCs w:val="28"/>
        </w:rPr>
        <w:t>Таким образом, сделать вывод о потенциально возможной к получению сумме доходов бюджета муниципального образования от уплаты неустойки за неисполнение решений суда не представляется возможным.</w:t>
      </w:r>
    </w:p>
    <w:p w:rsidR="007A2D59" w:rsidRPr="00BB6BDE" w:rsidRDefault="007A2D59" w:rsidP="007A2D59">
      <w:pPr>
        <w:pStyle w:val="af"/>
        <w:numPr>
          <w:ilvl w:val="0"/>
          <w:numId w:val="27"/>
        </w:numPr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B6BDE">
        <w:rPr>
          <w:rFonts w:ascii="Times New Roman" w:hAnsi="Times New Roman"/>
          <w:sz w:val="28"/>
          <w:szCs w:val="28"/>
        </w:rPr>
        <w:t xml:space="preserve">ухгалтерский учет </w:t>
      </w:r>
      <w:r>
        <w:rPr>
          <w:rFonts w:ascii="Times New Roman" w:hAnsi="Times New Roman"/>
          <w:sz w:val="28"/>
          <w:szCs w:val="28"/>
        </w:rPr>
        <w:t xml:space="preserve">оплаченных судебно-технических экспертиз в разрезе ответчиков по иску </w:t>
      </w:r>
      <w:r w:rsidRPr="00BB6BDE">
        <w:rPr>
          <w:rFonts w:ascii="Times New Roman" w:hAnsi="Times New Roman"/>
          <w:sz w:val="28"/>
          <w:szCs w:val="28"/>
        </w:rPr>
        <w:t>организован</w:t>
      </w:r>
      <w:r>
        <w:rPr>
          <w:rFonts w:ascii="Times New Roman" w:hAnsi="Times New Roman"/>
          <w:sz w:val="28"/>
          <w:szCs w:val="28"/>
        </w:rPr>
        <w:t>,</w:t>
      </w:r>
      <w:r w:rsidRPr="00BB6BDE">
        <w:rPr>
          <w:rFonts w:ascii="Times New Roman" w:hAnsi="Times New Roman"/>
          <w:sz w:val="28"/>
          <w:szCs w:val="28"/>
        </w:rPr>
        <w:t xml:space="preserve"> начиная с экспертиз оплаченных после 1 января 2023 года.</w:t>
      </w:r>
    </w:p>
    <w:p w:rsidR="007A2D59" w:rsidRPr="00BB6BDE" w:rsidRDefault="007A2D59" w:rsidP="007A2D59">
      <w:pPr>
        <w:pStyle w:val="af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BB6BDE">
        <w:rPr>
          <w:rFonts w:ascii="Times New Roman" w:hAnsi="Times New Roman"/>
          <w:sz w:val="28"/>
          <w:szCs w:val="28"/>
        </w:rPr>
        <w:t xml:space="preserve">В соответствии со статьей 196 Гражданского Кодекса РФ общий срок исковой давности взыскания дебиторской задолженности составляет 3 года. Следовательно, отсутствие учета по оплаченным судебным экспертизам во втором полугодии 2021 и 2022 году, в разрезе ответчиков по иску, лишает возможности контроля, за ее взысканием. </w:t>
      </w:r>
    </w:p>
    <w:p w:rsidR="007A2D59" w:rsidRDefault="007A2D59" w:rsidP="007A2D59">
      <w:pPr>
        <w:pStyle w:val="af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общем, за период 2021 – 01.09.2024 год на оплату судебных экспертиз из бюджета муниципального образования было направлено 19728,26 тысяч рублей, возвращено лишь 4,3 %, что в абсолютном выражении составляет 856,06 тысяч рублей.</w:t>
      </w:r>
    </w:p>
    <w:p w:rsidR="007A2D59" w:rsidRPr="00AF5E3D" w:rsidRDefault="007A2D59" w:rsidP="007A2D59">
      <w:pPr>
        <w:pStyle w:val="af"/>
        <w:ind w:left="-567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C45FB">
        <w:rPr>
          <w:rFonts w:ascii="Times New Roman" w:hAnsi="Times New Roman"/>
          <w:b/>
          <w:i/>
          <w:sz w:val="28"/>
          <w:szCs w:val="28"/>
        </w:rPr>
        <w:t>Таким образом,</w:t>
      </w:r>
      <w:r>
        <w:rPr>
          <w:rFonts w:ascii="Times New Roman" w:hAnsi="Times New Roman"/>
          <w:b/>
          <w:i/>
          <w:sz w:val="28"/>
          <w:szCs w:val="28"/>
        </w:rPr>
        <w:t xml:space="preserve"> резервы </w:t>
      </w:r>
      <w:r w:rsidRPr="00CC45FB">
        <w:rPr>
          <w:rFonts w:ascii="Times New Roman" w:hAnsi="Times New Roman"/>
          <w:b/>
          <w:i/>
          <w:sz w:val="28"/>
          <w:szCs w:val="28"/>
        </w:rPr>
        <w:t>бюджет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C45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муниципального образования город-курорт Геленджик по данному доходному источнику составляют</w:t>
      </w:r>
      <w:r w:rsidRPr="00CC45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18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872,2 тысяч рублей.</w:t>
      </w:r>
    </w:p>
    <w:p w:rsidR="007A2D59" w:rsidRPr="00C5748E" w:rsidRDefault="007A2D59" w:rsidP="007A2D59">
      <w:pPr>
        <w:pStyle w:val="af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1250F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отчету об исполнении </w:t>
      </w:r>
      <w:r w:rsidRPr="00C5748E">
        <w:rPr>
          <w:rFonts w:ascii="Times New Roman" w:hAnsi="Times New Roman"/>
          <w:sz w:val="28"/>
          <w:szCs w:val="28"/>
        </w:rPr>
        <w:t xml:space="preserve">плана мероприятий, направленных на увеличение наполняемости доходной части консолидированного бюджета Краснодарского края, по муниципальному образования город-курорт Геленджик за 1 полугодие 2024 года, резервы бюджета муниципального образования город-курорт Геленджик по подготовленным, но не подписанным со стороны заявителя соглашениям </w:t>
      </w:r>
      <w:r>
        <w:rPr>
          <w:rFonts w:ascii="Times New Roman" w:hAnsi="Times New Roman"/>
          <w:sz w:val="28"/>
          <w:szCs w:val="28"/>
        </w:rPr>
        <w:t xml:space="preserve"> о перераспределении земельных участков, находящихся в муниципальной собственности, и земельных участков, находящихся в частной собственности составляет </w:t>
      </w:r>
      <w:r w:rsidRPr="00C5748E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48E">
        <w:rPr>
          <w:rFonts w:ascii="Times New Roman" w:hAnsi="Times New Roman"/>
          <w:sz w:val="28"/>
          <w:szCs w:val="28"/>
        </w:rPr>
        <w:t>697,1 тысяч</w:t>
      </w:r>
      <w:proofErr w:type="gramEnd"/>
      <w:r w:rsidRPr="00C5748E">
        <w:rPr>
          <w:rFonts w:ascii="Times New Roman" w:hAnsi="Times New Roman"/>
          <w:sz w:val="28"/>
          <w:szCs w:val="28"/>
        </w:rPr>
        <w:t xml:space="preserve"> рублей. </w:t>
      </w:r>
    </w:p>
    <w:p w:rsidR="007A2D59" w:rsidRPr="00E23CF7" w:rsidRDefault="007A2D59" w:rsidP="007A2D59">
      <w:pPr>
        <w:pStyle w:val="ae"/>
        <w:spacing w:before="0" w:after="0" w:line="240" w:lineRule="auto"/>
        <w:ind w:left="-567"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Отдел </w:t>
      </w:r>
      <w:r w:rsidRPr="00ED495E">
        <w:rPr>
          <w:rFonts w:ascii="Times New Roman" w:hAnsi="Times New Roman" w:cs="Times New Roman"/>
          <w:sz w:val="28"/>
          <w:szCs w:val="28"/>
        </w:rPr>
        <w:t>отраслевого финансирования и доходов бюджета финансового управления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низкий уровень контроля за формированием плана мероприятий</w:t>
      </w:r>
      <w:r w:rsidRPr="00C5748E">
        <w:rPr>
          <w:rFonts w:ascii="Times New Roman" w:hAnsi="Times New Roman"/>
          <w:sz w:val="28"/>
          <w:szCs w:val="28"/>
        </w:rPr>
        <w:t xml:space="preserve">, направленных на увеличение наполняемости доходной части консолидированного бюджета Краснодарского края, по </w:t>
      </w:r>
      <w:proofErr w:type="gramStart"/>
      <w:r w:rsidRPr="00C5748E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Pr="00C5748E">
        <w:rPr>
          <w:rFonts w:ascii="Times New Roman" w:hAnsi="Times New Roman"/>
          <w:sz w:val="28"/>
          <w:szCs w:val="28"/>
        </w:rPr>
        <w:t xml:space="preserve">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и содержанием отчетов о его выполнении.</w:t>
      </w:r>
    </w:p>
    <w:p w:rsidR="007A2D59" w:rsidRPr="007A2D59" w:rsidRDefault="007A2D59" w:rsidP="007A2D59">
      <w:pPr>
        <w:pStyle w:val="af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A2D59">
        <w:rPr>
          <w:rFonts w:ascii="Times New Roman" w:hAnsi="Times New Roman"/>
          <w:sz w:val="28"/>
          <w:szCs w:val="28"/>
        </w:rPr>
        <w:t>По результатам мероприятия даны рекомендации объектам анализа</w:t>
      </w:r>
      <w:r>
        <w:rPr>
          <w:rFonts w:ascii="Times New Roman" w:hAnsi="Times New Roman"/>
          <w:sz w:val="28"/>
          <w:szCs w:val="28"/>
        </w:rPr>
        <w:t>, выданы представления.</w:t>
      </w:r>
      <w:bookmarkStart w:id="0" w:name="_GoBack"/>
      <w:bookmarkEnd w:id="0"/>
    </w:p>
    <w:p w:rsidR="0030276D" w:rsidRDefault="00D26537" w:rsidP="007E471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результатах мероприятия направлен в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Думу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город-курорт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 xml:space="preserve">, главе муниципального образования город-курорт </w:t>
      </w:r>
      <w:r w:rsidR="007E471A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="007E471A" w:rsidRPr="007E4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30276D" w:rsidRDefault="0030276D" w:rsidP="00712755">
      <w:pPr>
        <w:rPr>
          <w:rFonts w:ascii="Times New Roman" w:hAnsi="Times New Roman" w:cs="Times New Roman"/>
          <w:sz w:val="28"/>
          <w:szCs w:val="28"/>
        </w:rPr>
      </w:pPr>
    </w:p>
    <w:p w:rsidR="009347C6" w:rsidRDefault="009347C6" w:rsidP="00712755">
      <w:pPr>
        <w:rPr>
          <w:rFonts w:ascii="Times New Roman" w:hAnsi="Times New Roman" w:cs="Times New Roman"/>
          <w:sz w:val="28"/>
          <w:szCs w:val="28"/>
        </w:rPr>
      </w:pPr>
    </w:p>
    <w:sectPr w:rsidR="009347C6" w:rsidSect="00A20BE8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65" w:rsidRDefault="00984D65" w:rsidP="0042477B">
      <w:r>
        <w:separator/>
      </w:r>
    </w:p>
  </w:endnote>
  <w:endnote w:type="continuationSeparator" w:id="0">
    <w:p w:rsidR="00984D65" w:rsidRDefault="00984D65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65" w:rsidRDefault="00984D65" w:rsidP="00A548A7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4D65" w:rsidRDefault="00984D65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65" w:rsidRDefault="00984D65" w:rsidP="00A548A7">
    <w:pPr>
      <w:pStyle w:val="a5"/>
      <w:framePr w:wrap="around" w:vAnchor="text" w:hAnchor="margin" w:xAlign="right" w:y="1"/>
      <w:rPr>
        <w:rStyle w:val="af2"/>
      </w:rPr>
    </w:pPr>
  </w:p>
  <w:p w:rsidR="00984D65" w:rsidRDefault="00984D65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65" w:rsidRDefault="00984D65" w:rsidP="0042477B">
      <w:r>
        <w:separator/>
      </w:r>
    </w:p>
  </w:footnote>
  <w:footnote w:type="continuationSeparator" w:id="0">
    <w:p w:rsidR="00984D65" w:rsidRDefault="00984D65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Content>
      <w:p w:rsidR="00984D65" w:rsidRDefault="00984D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D59">
          <w:rPr>
            <w:noProof/>
          </w:rPr>
          <w:t>3</w:t>
        </w:r>
        <w:r>
          <w:fldChar w:fldCharType="end"/>
        </w:r>
      </w:p>
    </w:sdtContent>
  </w:sdt>
  <w:p w:rsidR="00984D65" w:rsidRDefault="00984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Content>
      <w:p w:rsidR="00984D65" w:rsidRDefault="00984D65">
        <w:pPr>
          <w:pStyle w:val="a3"/>
          <w:jc w:val="center"/>
        </w:pPr>
      </w:p>
    </w:sdtContent>
  </w:sdt>
  <w:p w:rsidR="00984D65" w:rsidRPr="00C8196B" w:rsidRDefault="00984D65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AE5BE6"/>
    <w:multiLevelType w:val="hybridMultilevel"/>
    <w:tmpl w:val="5DD2A058"/>
    <w:lvl w:ilvl="0" w:tplc="D2C0C5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C05932"/>
    <w:multiLevelType w:val="hybridMultilevel"/>
    <w:tmpl w:val="D548CB66"/>
    <w:lvl w:ilvl="0" w:tplc="99B098D8">
      <w:start w:val="5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9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20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4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67B19ED"/>
    <w:multiLevelType w:val="hybridMultilevel"/>
    <w:tmpl w:val="324AB766"/>
    <w:lvl w:ilvl="0" w:tplc="7B5631DC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9"/>
  </w:num>
  <w:num w:numId="5">
    <w:abstractNumId w:val="20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22"/>
  </w:num>
  <w:num w:numId="11">
    <w:abstractNumId w:val="0"/>
  </w:num>
  <w:num w:numId="12">
    <w:abstractNumId w:val="11"/>
  </w:num>
  <w:num w:numId="13">
    <w:abstractNumId w:val="2"/>
  </w:num>
  <w:num w:numId="14">
    <w:abstractNumId w:val="23"/>
  </w:num>
  <w:num w:numId="15">
    <w:abstractNumId w:val="18"/>
  </w:num>
  <w:num w:numId="16">
    <w:abstractNumId w:val="13"/>
  </w:num>
  <w:num w:numId="17">
    <w:abstractNumId w:val="8"/>
  </w:num>
  <w:num w:numId="18">
    <w:abstractNumId w:val="15"/>
  </w:num>
  <w:num w:numId="19">
    <w:abstractNumId w:val="25"/>
  </w:num>
  <w:num w:numId="20">
    <w:abstractNumId w:val="7"/>
  </w:num>
  <w:num w:numId="21">
    <w:abstractNumId w:val="17"/>
  </w:num>
  <w:num w:numId="22">
    <w:abstractNumId w:val="6"/>
  </w:num>
  <w:num w:numId="23">
    <w:abstractNumId w:val="24"/>
  </w:num>
  <w:num w:numId="24">
    <w:abstractNumId w:val="19"/>
  </w:num>
  <w:num w:numId="25">
    <w:abstractNumId w:val="26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8FA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54A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26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6BA"/>
    <w:rsid w:val="000F09E2"/>
    <w:rsid w:val="000F0D63"/>
    <w:rsid w:val="000F254F"/>
    <w:rsid w:val="000F29C5"/>
    <w:rsid w:val="000F2AA8"/>
    <w:rsid w:val="000F2FF4"/>
    <w:rsid w:val="000F32AE"/>
    <w:rsid w:val="000F3336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11E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051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99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1F7AE5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601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905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EA5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DC6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3F7"/>
    <w:rsid w:val="002F6620"/>
    <w:rsid w:val="002F7542"/>
    <w:rsid w:val="00300128"/>
    <w:rsid w:val="003001D0"/>
    <w:rsid w:val="00301170"/>
    <w:rsid w:val="00301245"/>
    <w:rsid w:val="003016B0"/>
    <w:rsid w:val="003018AD"/>
    <w:rsid w:val="00301B7A"/>
    <w:rsid w:val="0030209C"/>
    <w:rsid w:val="0030276D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61B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67FAE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BDB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88E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4FD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B72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1ED7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127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424D"/>
    <w:rsid w:val="005150F0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532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47C7B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19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790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87EC9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755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78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B72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D59"/>
    <w:rsid w:val="007A2E38"/>
    <w:rsid w:val="007A32D8"/>
    <w:rsid w:val="007A3512"/>
    <w:rsid w:val="007A3E16"/>
    <w:rsid w:val="007A3FE7"/>
    <w:rsid w:val="007A43D7"/>
    <w:rsid w:val="007A4579"/>
    <w:rsid w:val="007A48F0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497"/>
    <w:rsid w:val="007C0797"/>
    <w:rsid w:val="007C0EB1"/>
    <w:rsid w:val="007C1070"/>
    <w:rsid w:val="007C132A"/>
    <w:rsid w:val="007C14DF"/>
    <w:rsid w:val="007C165B"/>
    <w:rsid w:val="007C20FB"/>
    <w:rsid w:val="007C23CF"/>
    <w:rsid w:val="007C23F8"/>
    <w:rsid w:val="007C2659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71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8C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74E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A8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7C6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997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D65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3B1A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21E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0BE8"/>
    <w:rsid w:val="00A20DAB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3B94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E5A"/>
    <w:rsid w:val="00A83FAE"/>
    <w:rsid w:val="00A8414A"/>
    <w:rsid w:val="00A84161"/>
    <w:rsid w:val="00A853B9"/>
    <w:rsid w:val="00A8587C"/>
    <w:rsid w:val="00A858DE"/>
    <w:rsid w:val="00A85B2A"/>
    <w:rsid w:val="00A86AC0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578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338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BFF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3F8E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2FBB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537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DFF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95C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7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094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6776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43"/>
    <w:rsid w:val="00EE0850"/>
    <w:rsid w:val="00EE0B4B"/>
    <w:rsid w:val="00EE1CEC"/>
    <w:rsid w:val="00EE24F6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67E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34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basedOn w:val="a"/>
    <w:uiPriority w:val="34"/>
    <w:qFormat/>
    <w:rsid w:val="0061307E"/>
    <w:pPr>
      <w:ind w:left="720"/>
      <w:contextualSpacing/>
    </w:pPr>
  </w:style>
  <w:style w:type="table" w:styleId="a8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a">
    <w:name w:val="Body Text Indent"/>
    <w:basedOn w:val="a"/>
    <w:link w:val="ab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">
    <w:name w:val="No Spacing"/>
    <w:link w:val="af0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1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2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0">
    <w:name w:val="Без интервала Знак"/>
    <w:basedOn w:val="a0"/>
    <w:link w:val="af"/>
    <w:uiPriority w:val="1"/>
    <w:rsid w:val="00D255FC"/>
    <w:rPr>
      <w:rFonts w:eastAsiaTheme="minorEastAsia"/>
      <w:lang w:eastAsia="ru-RU"/>
    </w:rPr>
  </w:style>
  <w:style w:type="character" w:styleId="af3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116&amp;dst=100106" TargetMode="External"/><Relationship Id="rId18" Type="http://schemas.openxmlformats.org/officeDocument/2006/relationships/hyperlink" Target="https://login.consultant.ru/link/?req=doc&amp;base=LAW&amp;n=344165&amp;dst=10009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0116&amp;dst=100055" TargetMode="External"/><Relationship Id="rId17" Type="http://schemas.openxmlformats.org/officeDocument/2006/relationships/hyperlink" Target="https://login.consultant.ru/link/?req=doc&amp;base=LAW&amp;n=344165&amp;dst=10004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0116&amp;dst=100167" TargetMode="External"/><Relationship Id="rId20" Type="http://schemas.openxmlformats.org/officeDocument/2006/relationships/hyperlink" Target="https://login.consultant.ru/link/?req=doc&amp;base=LAW&amp;n=450185&amp;dst=1003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181&amp;dst=100120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116&amp;dst=10012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4181&amp;dst=100078" TargetMode="External"/><Relationship Id="rId19" Type="http://schemas.openxmlformats.org/officeDocument/2006/relationships/hyperlink" Target="https://login.consultant.ru/link/?req=doc&amp;base=LAW&amp;n=344165&amp;dst=1000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74&amp;dst=2676" TargetMode="External"/><Relationship Id="rId14" Type="http://schemas.openxmlformats.org/officeDocument/2006/relationships/hyperlink" Target="https://login.consultant.ru/link/?req=doc&amp;base=LAW&amp;n=460116&amp;dst=10010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81E0-5968-4B41-BC2F-706C90DA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54</cp:revision>
  <cp:lastPrinted>2022-03-22T09:35:00Z</cp:lastPrinted>
  <dcterms:created xsi:type="dcterms:W3CDTF">2015-07-02T14:26:00Z</dcterms:created>
  <dcterms:modified xsi:type="dcterms:W3CDTF">2024-11-21T09:17:00Z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