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28.08.2024 N 1154</w:t>
              <w:br/>
              <w:t xml:space="preserve">"О внесении изменений в постановление Правительства Российской Федерации от 10 марта 2022 г. N 336"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августа 2024 г. N 1154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6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42, ст. 7500; 2024, N 22, ст. 2961).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августа 2024 г. N 1154</w:t>
      </w:r>
    </w:p>
    <w:p>
      <w:pPr>
        <w:pStyle w:val="0"/>
        <w:jc w:val="center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11(9)</w:t>
        </w:r>
      </w:hyperlink>
      <w:r>
        <w:rPr>
          <w:sz w:val="20"/>
        </w:rPr>
        <w:t xml:space="preserve"> слова "приложениями N 1 - 3" заменить словами "приложениями N 1 - 4".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11(15) - 11(20)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"О техническом регулировании",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приложением N 4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в соответствии с требованиями настоящего постановления с учетом особенностей, предусмотренных приложением N 4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статьей 53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пунктом 1 части 10 статьи 23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пунктом 15 статьи 46 Федерального закона "О техническом регулировании".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пунктом 11(15)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0" w:tooltip="Постановление Правительства РФ от 10.03.2022 N 336 (ред. от 18.07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N 4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ОСОБЕННОСТИ</w:t>
      </w:r>
    </w:p>
    <w:p>
      <w:pPr>
        <w:pStyle w:val="0"/>
        <w:jc w:val="center"/>
      </w:pPr>
      <w:r>
        <w:rPr>
          <w:sz w:val="20"/>
        </w:rPr>
        <w:t xml:space="preserve">ОЦЕНКИ СОБЛЮДЕНИЯ ОБЯЗАТЕЛЬНЫХ ТРЕБОВАНИЙ,</w:t>
      </w:r>
    </w:p>
    <w:p>
      <w:pPr>
        <w:pStyle w:val="0"/>
        <w:jc w:val="center"/>
      </w:pPr>
      <w:r>
        <w:rPr>
          <w:sz w:val="20"/>
        </w:rPr>
        <w:t xml:space="preserve">УСТАНОВЛЕННЫХ ТЕХНИЧЕСКИМИ РЕГЛАМЕНТАМИ В ОТНОШЕНИИ</w:t>
      </w:r>
    </w:p>
    <w:p>
      <w:pPr>
        <w:pStyle w:val="0"/>
        <w:jc w:val="center"/>
      </w:pPr>
      <w:r>
        <w:rPr>
          <w:sz w:val="20"/>
        </w:rPr>
        <w:t xml:space="preserve">КОЛЕСНЫХ ТРАНСПОРТНЫХ СРЕДСТВ (ШАССИ) И КОМПОНЕНТОВ</w:t>
      </w:r>
    </w:p>
    <w:p>
      <w:pPr>
        <w:pStyle w:val="0"/>
        <w:jc w:val="center"/>
      </w:pPr>
      <w:r>
        <w:rPr>
          <w:sz w:val="20"/>
        </w:rPr>
        <w:t xml:space="preserve">ТРАНСПОРТНЫХ СРЕДСТВ (ШАССИ), НАХОДЯЩИХСЯ В ОБРАЩЕНИИ</w:t>
      </w:r>
    </w:p>
    <w:p>
      <w:pPr>
        <w:pStyle w:val="0"/>
        <w:jc w:val="center"/>
      </w:pPr>
      <w:r>
        <w:rPr>
          <w:sz w:val="20"/>
        </w:rPr>
        <w:t xml:space="preserve">(ДО НАЧАЛА ИХ ЭКСПЛУАТАЦИИ), АВТОМОБИЛЬНОГО БЕНЗИНА,</w:t>
      </w:r>
    </w:p>
    <w:p>
      <w:pPr>
        <w:pStyle w:val="0"/>
        <w:jc w:val="center"/>
      </w:pPr>
      <w:r>
        <w:rPr>
          <w:sz w:val="20"/>
        </w:rPr>
        <w:t xml:space="preserve">ДИЗЕЛЬНОГО ТОПЛИВА, СУДОВОГО ТОПЛИВА И МАЗУТА,</w:t>
      </w:r>
    </w:p>
    <w:p>
      <w:pPr>
        <w:pStyle w:val="0"/>
        <w:jc w:val="center"/>
      </w:pPr>
      <w:r>
        <w:rPr>
          <w:sz w:val="20"/>
        </w:rPr>
        <w:t xml:space="preserve">ИЛИ ОБЯЗАТЕЛЬНЫХ ТРЕБОВАНИЙ, ПОДЛЕЖАЩИХ ПРИМЕНЕНИЮ</w:t>
      </w:r>
    </w:p>
    <w:p>
      <w:pPr>
        <w:pStyle w:val="0"/>
        <w:jc w:val="center"/>
      </w:pPr>
      <w:r>
        <w:rPr>
          <w:sz w:val="20"/>
        </w:rPr>
        <w:t xml:space="preserve">ДО ДНЯ ВСТУПЛЕНИЯ В СИЛУ ТЕХНИЧЕСКИХ РЕГЛАМЕНТОВ</w:t>
      </w:r>
    </w:p>
    <w:p>
      <w:pPr>
        <w:pStyle w:val="0"/>
        <w:jc w:val="center"/>
      </w:pPr>
      <w:r>
        <w:rPr>
          <w:sz w:val="20"/>
        </w:rPr>
        <w:t xml:space="preserve">В СООТВЕТСТВИИ С ФЕДЕРАЛЬНЫМ ЗАКОНОМ "О ТЕХНИЧЕСКОМ</w:t>
      </w:r>
    </w:p>
    <w:p>
      <w:pPr>
        <w:pStyle w:val="0"/>
        <w:jc w:val="center"/>
      </w:pPr>
      <w:r>
        <w:rPr>
          <w:sz w:val="20"/>
        </w:rPr>
        <w:t xml:space="preserve">РЕГУЛИРОВАНИИ", В ОТНОШЕНИИ ЭЛЕКТРИЧЕСКОЙ ЭНЕРГИИ</w:t>
      </w:r>
    </w:p>
    <w:p>
      <w:pPr>
        <w:pStyle w:val="0"/>
        <w:jc w:val="center"/>
      </w:pPr>
      <w:r>
        <w:rPr>
          <w:sz w:val="20"/>
        </w:rPr>
        <w:t xml:space="preserve">В ЭЛЕКТРИЧЕСКИХ СЕТЯХ ОБЩЕГО НАЗНАЧЕНИЯ ПЕРЕМЕННОГО</w:t>
      </w:r>
    </w:p>
    <w:p>
      <w:pPr>
        <w:pStyle w:val="0"/>
        <w:jc w:val="center"/>
      </w:pPr>
      <w:r>
        <w:rPr>
          <w:sz w:val="20"/>
        </w:rPr>
        <w:t xml:space="preserve">ТРЕХФАЗНОГО И ОДНОФАЗНОГО ТОКА ЧАСТОТОЙ 50 ГЦ,</w:t>
      </w:r>
    </w:p>
    <w:p>
      <w:pPr>
        <w:pStyle w:val="0"/>
        <w:jc w:val="center"/>
      </w:pPr>
      <w:r>
        <w:rPr>
          <w:sz w:val="20"/>
        </w:rPr>
        <w:t xml:space="preserve">В ОТНОШЕНИИ ПРОДУКЦИИ И СВЯЗАННЫХ С ТРЕБОВАНИЯМИ</w:t>
      </w:r>
    </w:p>
    <w:p>
      <w:pPr>
        <w:pStyle w:val="0"/>
        <w:jc w:val="center"/>
      </w:pPr>
      <w:r>
        <w:rPr>
          <w:sz w:val="20"/>
        </w:rPr>
        <w:t xml:space="preserve">К ПРОДУКЦИИ ПРОЦЕССОВ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Объектом оценки соблюдения обязательных требований в отношении видов продукции по перечню согласно приложению (далее - продукция), осуществляемой в рамках федерального государственного контроля (надзора), установленного пунктом 15 статьи 46 Федерального закона "О техническом регулировании",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пункта 1 части 1 статьи 16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продукция - в рамках пункта 2 части 1 статьи 16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статьями 4 - 8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кабелей, проводов и шнуров на стадиях обращения, разработки (проектирования) и изготовления (производства) - статьями 3 - 8 ТР ТС 004/2011;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пунктами 15.1 - 15.3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пунктами 8.1 и 9.1 - 9.8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1 и 2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1 - 4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1 - 4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1.3.1 - 1.3.15, 1.4 и разделами 2 - 4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и 5.2, разделами 6 и 7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и 5.4 и разделами 6 - 10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5.1 - 5.15, разделами 6, 7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5.1 - 5.10, разделами 6 и 7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5.1 - 5.4 и разделами 6 - 8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5.1 - 5.3, разделами 6, 7 и 9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4, 6 - 13 и 15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6, 9, 10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1 и пунктами 4.2 - 4.4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1, 3 и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1, 3 и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1.3 и 1.4, разделами 3 и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6 и 8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5 - 7 и 9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6, 8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6 и 8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7 и 8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5, 6 и 8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4, 6 - 10, 12 и 13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5 - 9, 11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отношении радиаторов центрального отопления и их секций чугунных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отношении радиаторов центрального отопления и их секций стальных на стадиях производства и обращения - пунктами 5.1 - 5.7, 5.9,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радиаторов центрального отопления и их секций биметаллических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радиаторов центрального отопления и их секций алюминиевых на стадиях производства и обращения - пунктами 5.1 - 5.7, 5.11,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отношении радиаторов центрального отопления и их секций из прочих металлов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отношении конвекторов отопительных чугунных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отношении конвекторов отопительных из прочих металлов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отношении конвекторов отопительных стальных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в отношении смесей сухих строительных: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4.1 - 4.4, 4.5.2 - 4.6.2 и 4.3 (за исключением требований к капиллярному водопоглощению), 4.6.4, 4.7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4.4.3 - 4.6.4, 4.6.6 - 4.9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4.1 - 4.9 и разделом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4.1 - 4.4.2, 4.5.2 - 4.5.5, 4.6, 4.7,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4.5.2 - 4.5.4, 4.6 - 4.8,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4.4.3 - 4.6,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 и 4.5 - 4.8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4.5, 4.6.2, 4.6.3, 4.7, 4.8, 4.9.1 - 4.9.3,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4.1 - 4.4, 4.5.2 - 4.6.2, 4.6.4, 4.7, 4.8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4.4.3 - 4.6.4, 4.6.6 - 4.7, 4.8, 4.9 и разделом 5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разделами 4 и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4.1 - 4.4.2, 4.5.2 - 4.5.5, 4.6, 4.7, 4.8,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4.5.2 - 4.5.4, 4.6 - 4.7,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4.1 - 4.4.1, 4.4.3 - 4.6.5,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 и 4.5 - 4.8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4.4.3 - 4.7,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4.4.3 - 4.7,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4.4.1, 4.4.3 - 4.7, 4.8 и разделом 5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4.1 - 4.3, 4.5, 4.6.2, 4.6.3, 4.7, 4.8, 4.9.1, 4.9.2,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 отношении растворов строительных на стадиях производства и обращения - пунктами 4.1 - 4.7, 4.9 - 4.14.1, 4.14.3 - 4.14.6, 4.14.8 - 4.14.14 и 4.15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в отношении смесей бетонных: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 - разделами 5 - 7 и 10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 - разделами 5 и 7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Решением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общедоступной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абзацами вторым - пятым и одиннадцатым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пунктом 11(17)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2024 года - как снижение не менее чем на 5 процентов по отношению к показателю, установленному по результатам 2023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2025 года - как снижение не менее чем на 5 процентов по отношению к показателю, установленному по результатам 2024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2026 года - как снижение не менее чем на 5 процентов по отношению к показателю, установленному по результатам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5"/>
        </w:rPr>
        <w:drawing>
          <wp:inline distT="0" distB="0" distL="0" distR="0">
            <wp:extent cx="63817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0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0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0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0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0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0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0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0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0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0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0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0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0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0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0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0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0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ВИДОВ ПРОДУКЦИИ, ОЦЕНКА СОБЛЮДЕНИЯ ОБЯЗАТЕЛЬНЫХ</w:t>
      </w:r>
    </w:p>
    <w:p>
      <w:pPr>
        <w:pStyle w:val="0"/>
        <w:jc w:val="center"/>
      </w:pPr>
      <w:r>
        <w:rPr>
          <w:sz w:val="20"/>
        </w:rPr>
        <w:t xml:space="preserve">ТРЕБОВАНИЙ К КОТОРОЙ ОСУЩЕСТВЛЯЕТСЯ В РАМКАХ ФЕДЕРАЛЬНОГО</w:t>
      </w:r>
    </w:p>
    <w:p>
      <w:pPr>
        <w:pStyle w:val="0"/>
        <w:jc w:val="center"/>
      </w:pPr>
      <w:r>
        <w:rPr>
          <w:sz w:val="20"/>
        </w:rPr>
        <w:t xml:space="preserve">ГОСУДАРСТВЕННОГО КОНТРОЛЯ (НАДЗОРА) ЗА СОБЛЮДЕНИЕМ</w:t>
      </w:r>
    </w:p>
    <w:p>
      <w:pPr>
        <w:pStyle w:val="0"/>
        <w:jc w:val="center"/>
      </w:pPr>
      <w:r>
        <w:rPr>
          <w:sz w:val="20"/>
        </w:rPr>
        <w:t xml:space="preserve">ТРЕБОВАНИЙ, УСТАНОВЛЕННЫХ ТЕХНИЧЕСКИМИ РЕГЛАМЕНТАМИ</w:t>
      </w:r>
    </w:p>
    <w:p>
      <w:pPr>
        <w:pStyle w:val="0"/>
        <w:jc w:val="center"/>
      </w:pPr>
      <w:r>
        <w:rPr>
          <w:sz w:val="20"/>
        </w:rPr>
        <w:t xml:space="preserve">В ОТНОШЕНИИ КОЛЕСНЫХ ТРАНСПОРТНЫХ СРЕДСТВ (ШАССИ)</w:t>
      </w:r>
    </w:p>
    <w:p>
      <w:pPr>
        <w:pStyle w:val="0"/>
        <w:jc w:val="center"/>
      </w:pPr>
      <w:r>
        <w:rPr>
          <w:sz w:val="20"/>
        </w:rPr>
        <w:t xml:space="preserve">И КОМПОНЕНТОВ ТРАНСПОРТНЫХ СРЕДСТВ (ШАССИ), НАХОДЯЩИХСЯ</w:t>
      </w:r>
    </w:p>
    <w:p>
      <w:pPr>
        <w:pStyle w:val="0"/>
        <w:jc w:val="center"/>
      </w:pPr>
      <w:r>
        <w:rPr>
          <w:sz w:val="20"/>
        </w:rPr>
        <w:t xml:space="preserve">В ОБРАЩЕНИИ (ДО НАЧАЛА ИХ ЭКСПЛУАТАЦИИ), АВТОМОБИЛЬНОГО</w:t>
      </w:r>
    </w:p>
    <w:p>
      <w:pPr>
        <w:pStyle w:val="0"/>
        <w:jc w:val="center"/>
      </w:pPr>
      <w:r>
        <w:rPr>
          <w:sz w:val="20"/>
        </w:rPr>
        <w:t xml:space="preserve">БЕНЗИНА, ДИЗЕЛЬНОГО ТОПЛИВА, СУДОВОГО ТОПЛИВА И МАЗУТА,</w:t>
      </w:r>
    </w:p>
    <w:p>
      <w:pPr>
        <w:pStyle w:val="0"/>
        <w:jc w:val="center"/>
      </w:pPr>
      <w:r>
        <w:rPr>
          <w:sz w:val="20"/>
        </w:rPr>
        <w:t xml:space="preserve">ИЛИ ОБЯЗАТЕЛЬНЫХ ТРЕБОВАНИЙ, ПОДЛЕЖАЩИХ ПРИМЕНЕНИЮ ДО ДНЯ</w:t>
      </w:r>
    </w:p>
    <w:p>
      <w:pPr>
        <w:pStyle w:val="0"/>
        <w:jc w:val="center"/>
      </w:pPr>
      <w:r>
        <w:rPr>
          <w:sz w:val="20"/>
        </w:rPr>
        <w:t xml:space="preserve">ВСТУПЛЕНИЯ В СИЛУ ТЕХНИЧЕСКИХ РЕГЛАМЕНТОВ В СООТВЕТСТВИИ</w:t>
      </w:r>
    </w:p>
    <w:p>
      <w:pPr>
        <w:pStyle w:val="0"/>
        <w:jc w:val="center"/>
      </w:pPr>
      <w:r>
        <w:rPr>
          <w:sz w:val="20"/>
        </w:rPr>
        <w:t xml:space="preserve">С ФЕДЕРАЛЬНЫМ ЗАКОНОМ "О ТЕХНИЧЕСКОМ РЕГУЛИРОВАНИИ",</w:t>
      </w:r>
    </w:p>
    <w:p>
      <w:pPr>
        <w:pStyle w:val="0"/>
        <w:jc w:val="center"/>
      </w:pPr>
      <w:r>
        <w:rPr>
          <w:sz w:val="20"/>
        </w:rPr>
        <w:t xml:space="preserve">В ОТНОШЕНИИ ЭЛЕКТРИЧЕСКОЙ ЭНЕРГИИ В ЭЛЕКТРИЧЕСКИХ СЕТЯХ</w:t>
      </w:r>
    </w:p>
    <w:p>
      <w:pPr>
        <w:pStyle w:val="0"/>
        <w:jc w:val="center"/>
      </w:pPr>
      <w:r>
        <w:rPr>
          <w:sz w:val="20"/>
        </w:rPr>
        <w:t xml:space="preserve">ОБЩЕГО НАЗНАЧЕНИЯ ПЕРЕМЕННОГО ТРЕХФАЗНОГО</w:t>
      </w:r>
    </w:p>
    <w:p>
      <w:pPr>
        <w:pStyle w:val="0"/>
        <w:jc w:val="center"/>
      </w:pPr>
      <w:r>
        <w:rPr>
          <w:sz w:val="20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ТН ВЭД ЕАЭС &lt;*&gt;</w:t>
            </w:r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Решением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28.08.2024 N 1154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186" TargetMode = "External"/>
	<Relationship Id="rId8" Type="http://schemas.openxmlformats.org/officeDocument/2006/relationships/hyperlink" Target="https://login.consultant.ru/link/?req=doc&amp;base=LAW&amp;n=481186&amp;dst=100124" TargetMode = "External"/>
	<Relationship Id="rId9" Type="http://schemas.openxmlformats.org/officeDocument/2006/relationships/hyperlink" Target="https://login.consultant.ru/link/?req=doc&amp;base=LAW&amp;n=481186" TargetMode = "External"/>
	<Relationship Id="rId10" Type="http://schemas.openxmlformats.org/officeDocument/2006/relationships/hyperlink" Target="https://login.consultant.ru/link/?req=doc&amp;base=LAW&amp;n=481186" TargetMode = "External"/>
	<Relationship Id="rId11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28.08.2024 N 1154
"О внесении изменений в постановление Правительства Российской Федерации от 10 марта 2022 г. N 336"</dc:title>
  <dcterms:created xsi:type="dcterms:W3CDTF">2024-11-26T13:05:07Z</dcterms:created>
</cp:coreProperties>
</file>