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7646072B"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233D52" w:rsidRPr="00233D52">
              <w:rPr>
                <w:rFonts w:ascii="Times New Roman" w:hAnsi="Times New Roman"/>
                <w:sz w:val="28"/>
                <w:szCs w:val="28"/>
              </w:rPr>
              <w:t>Комплектная трансформаторная подстанция 3-6», инв. № ГД0008975</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3552D8" w14:paraId="5D31C4E7" w14:textId="77777777" w:rsidTr="00594A37">
        <w:trPr>
          <w:trHeight w:val="276"/>
        </w:trPr>
        <w:tc>
          <w:tcPr>
            <w:tcW w:w="179" w:type="pct"/>
            <w:vMerge w:val="restart"/>
          </w:tcPr>
          <w:p w14:paraId="14F48B15" w14:textId="5621FDFB" w:rsidR="00A13680" w:rsidRPr="003552D8" w:rsidRDefault="00A13680"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A13680" w:rsidRPr="001723FD" w:rsidRDefault="00A13680" w:rsidP="002C4B66">
            <w:pPr>
              <w:spacing w:after="0"/>
              <w:jc w:val="center"/>
              <w:rPr>
                <w:rFonts w:ascii="Times New Roman" w:hAnsi="Times New Roman" w:cs="Times New Roman"/>
                <w:b/>
                <w:bCs/>
                <w:sz w:val="28"/>
                <w:szCs w:val="28"/>
              </w:rPr>
            </w:pPr>
            <w:r w:rsidRPr="001723FD">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1723FD" w:rsidRDefault="00A13680" w:rsidP="002C4B66">
            <w:pPr>
              <w:spacing w:after="0"/>
              <w:jc w:val="center"/>
              <w:rPr>
                <w:rFonts w:ascii="Times New Roman" w:hAnsi="Times New Roman" w:cs="Times New Roman"/>
                <w:b/>
                <w:bCs/>
                <w:sz w:val="28"/>
                <w:szCs w:val="28"/>
              </w:rPr>
            </w:pPr>
            <w:r w:rsidRPr="001723FD">
              <w:rPr>
                <w:rFonts w:ascii="Times New Roman" w:hAnsi="Times New Roman" w:cs="Times New Roman"/>
                <w:b/>
                <w:bCs/>
                <w:sz w:val="28"/>
                <w:szCs w:val="28"/>
              </w:rPr>
              <w:t>в отношении которых испрашивается публичный сервитут</w:t>
            </w:r>
          </w:p>
        </w:tc>
      </w:tr>
      <w:tr w:rsidR="00A13680" w:rsidRPr="003552D8" w14:paraId="31C7DC50" w14:textId="77777777" w:rsidTr="00F21E39">
        <w:trPr>
          <w:trHeight w:val="276"/>
        </w:trPr>
        <w:tc>
          <w:tcPr>
            <w:tcW w:w="179" w:type="pct"/>
            <w:vMerge/>
          </w:tcPr>
          <w:p w14:paraId="597FBE68" w14:textId="77777777" w:rsidR="00A13680" w:rsidRPr="003552D8" w:rsidRDefault="00A13680" w:rsidP="00BE7CB4">
            <w:pPr>
              <w:spacing w:after="0"/>
              <w:jc w:val="center"/>
              <w:rPr>
                <w:rFonts w:ascii="Times New Roman" w:hAnsi="Times New Roman" w:cs="Times New Roman"/>
                <w:sz w:val="28"/>
                <w:szCs w:val="28"/>
              </w:rPr>
            </w:pPr>
          </w:p>
        </w:tc>
        <w:tc>
          <w:tcPr>
            <w:tcW w:w="1657" w:type="pct"/>
          </w:tcPr>
          <w:p w14:paraId="14B87C11" w14:textId="026AE603" w:rsidR="00A13680" w:rsidRPr="00233D52" w:rsidRDefault="00233D52" w:rsidP="00412EC7">
            <w:pPr>
              <w:pStyle w:val="Default"/>
              <w:jc w:val="center"/>
              <w:rPr>
                <w:sz w:val="28"/>
                <w:szCs w:val="28"/>
              </w:rPr>
            </w:pPr>
            <w:r w:rsidRPr="00233D52">
              <w:rPr>
                <w:rFonts w:eastAsia="Times New Roman"/>
                <w:color w:val="000000" w:themeColor="text1"/>
                <w:sz w:val="28"/>
                <w:szCs w:val="28"/>
                <w:lang w:eastAsia="ru-RU"/>
              </w:rPr>
              <w:t>23:40:0401033</w:t>
            </w:r>
          </w:p>
        </w:tc>
        <w:tc>
          <w:tcPr>
            <w:tcW w:w="3164" w:type="pct"/>
          </w:tcPr>
          <w:p w14:paraId="047C5B51" w14:textId="2D54A6A4" w:rsidR="00A13680" w:rsidRPr="00233D52" w:rsidRDefault="00233D52" w:rsidP="00412EC7">
            <w:pPr>
              <w:spacing w:after="60" w:line="240" w:lineRule="auto"/>
              <w:jc w:val="both"/>
              <w:rPr>
                <w:rFonts w:ascii="Times New Roman" w:eastAsia="Times New Roman" w:hAnsi="Times New Roman" w:cs="Times New Roman"/>
                <w:sz w:val="28"/>
                <w:szCs w:val="28"/>
                <w:lang w:eastAsia="ru-RU"/>
              </w:rPr>
            </w:pPr>
            <w:r w:rsidRPr="00233D52">
              <w:rPr>
                <w:rFonts w:ascii="Times New Roman" w:eastAsia="Times New Roman" w:hAnsi="Times New Roman" w:cs="Times New Roman"/>
                <w:color w:val="000000" w:themeColor="text1"/>
                <w:sz w:val="28"/>
                <w:szCs w:val="28"/>
                <w:lang w:eastAsia="ru-RU"/>
              </w:rPr>
              <w:t>край Краснодарский, г. Геленджик</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233D52" w:rsidRPr="003552D8" w14:paraId="7FE4A227" w14:textId="77777777" w:rsidTr="00C176B6">
        <w:tc>
          <w:tcPr>
            <w:tcW w:w="562" w:type="dxa"/>
            <w:tcBorders>
              <w:top w:val="nil"/>
              <w:bottom w:val="nil"/>
            </w:tcBorders>
          </w:tcPr>
          <w:p w14:paraId="2528C21A" w14:textId="77777777" w:rsidR="00233D52" w:rsidRPr="003552D8" w:rsidRDefault="00233D52" w:rsidP="00233D52">
            <w:pPr>
              <w:jc w:val="center"/>
              <w:rPr>
                <w:rFonts w:ascii="Times New Roman" w:hAnsi="Times New Roman" w:cs="Times New Roman"/>
                <w:sz w:val="27"/>
                <w:szCs w:val="27"/>
              </w:rPr>
            </w:pPr>
          </w:p>
        </w:tc>
        <w:tc>
          <w:tcPr>
            <w:tcW w:w="2953" w:type="dxa"/>
          </w:tcPr>
          <w:p w14:paraId="27AB335E" w14:textId="710DC7B7" w:rsidR="00233D52" w:rsidRPr="009012E1" w:rsidRDefault="00233D52" w:rsidP="00233D5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293473E7"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426405.81</w:t>
            </w:r>
          </w:p>
        </w:tc>
        <w:tc>
          <w:tcPr>
            <w:tcW w:w="2976" w:type="dxa"/>
            <w:vAlign w:val="center"/>
          </w:tcPr>
          <w:p w14:paraId="074BBED5" w14:textId="64DA24A9"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1303164.25</w:t>
            </w:r>
          </w:p>
        </w:tc>
      </w:tr>
      <w:tr w:rsidR="00233D52" w:rsidRPr="003552D8" w14:paraId="2EE26BBD" w14:textId="77777777" w:rsidTr="00C176B6">
        <w:tc>
          <w:tcPr>
            <w:tcW w:w="562" w:type="dxa"/>
            <w:tcBorders>
              <w:top w:val="nil"/>
              <w:bottom w:val="nil"/>
            </w:tcBorders>
          </w:tcPr>
          <w:p w14:paraId="012DBBE4" w14:textId="77777777" w:rsidR="00233D52" w:rsidRPr="003552D8" w:rsidRDefault="00233D52" w:rsidP="00233D52">
            <w:pPr>
              <w:jc w:val="center"/>
              <w:rPr>
                <w:rFonts w:ascii="Times New Roman" w:hAnsi="Times New Roman" w:cs="Times New Roman"/>
                <w:sz w:val="27"/>
                <w:szCs w:val="27"/>
              </w:rPr>
            </w:pPr>
          </w:p>
        </w:tc>
        <w:tc>
          <w:tcPr>
            <w:tcW w:w="2953" w:type="dxa"/>
          </w:tcPr>
          <w:p w14:paraId="528DC7E9" w14:textId="38B3BD74" w:rsidR="00233D52" w:rsidRPr="009012E1" w:rsidRDefault="00233D52" w:rsidP="00233D5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3A8ACBD3"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426413.57</w:t>
            </w:r>
          </w:p>
        </w:tc>
        <w:tc>
          <w:tcPr>
            <w:tcW w:w="2976" w:type="dxa"/>
            <w:vAlign w:val="center"/>
          </w:tcPr>
          <w:p w14:paraId="07219875" w14:textId="74C7F2C8"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1303168.06</w:t>
            </w:r>
          </w:p>
        </w:tc>
      </w:tr>
      <w:tr w:rsidR="00233D52" w:rsidRPr="003552D8" w14:paraId="05D6E8AC" w14:textId="77777777" w:rsidTr="00C176B6">
        <w:tc>
          <w:tcPr>
            <w:tcW w:w="562" w:type="dxa"/>
            <w:tcBorders>
              <w:top w:val="nil"/>
              <w:bottom w:val="nil"/>
            </w:tcBorders>
          </w:tcPr>
          <w:p w14:paraId="3F4C0415" w14:textId="77777777" w:rsidR="00233D52" w:rsidRPr="003552D8" w:rsidRDefault="00233D52" w:rsidP="00233D52">
            <w:pPr>
              <w:jc w:val="center"/>
              <w:rPr>
                <w:rFonts w:ascii="Times New Roman" w:hAnsi="Times New Roman" w:cs="Times New Roman"/>
                <w:sz w:val="27"/>
                <w:szCs w:val="27"/>
              </w:rPr>
            </w:pPr>
          </w:p>
        </w:tc>
        <w:tc>
          <w:tcPr>
            <w:tcW w:w="2953" w:type="dxa"/>
          </w:tcPr>
          <w:p w14:paraId="62456BF9" w14:textId="6277DC49" w:rsidR="00233D52" w:rsidRPr="009012E1" w:rsidRDefault="00233D52" w:rsidP="00233D5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38439808"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426411.49</w:t>
            </w:r>
          </w:p>
        </w:tc>
        <w:tc>
          <w:tcPr>
            <w:tcW w:w="2976" w:type="dxa"/>
            <w:vAlign w:val="center"/>
          </w:tcPr>
          <w:p w14:paraId="2FA27107" w14:textId="7E792608"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1303172.00</w:t>
            </w:r>
          </w:p>
        </w:tc>
      </w:tr>
      <w:tr w:rsidR="00233D52" w:rsidRPr="003552D8" w14:paraId="7D93DF1B" w14:textId="77777777" w:rsidTr="00C176B6">
        <w:tc>
          <w:tcPr>
            <w:tcW w:w="562" w:type="dxa"/>
            <w:tcBorders>
              <w:top w:val="nil"/>
              <w:bottom w:val="nil"/>
            </w:tcBorders>
          </w:tcPr>
          <w:p w14:paraId="20A8BAC5" w14:textId="77777777" w:rsidR="00233D52" w:rsidRPr="003552D8" w:rsidRDefault="00233D52" w:rsidP="00233D52">
            <w:pPr>
              <w:jc w:val="center"/>
              <w:rPr>
                <w:rFonts w:ascii="Times New Roman" w:hAnsi="Times New Roman" w:cs="Times New Roman"/>
                <w:sz w:val="27"/>
                <w:szCs w:val="27"/>
              </w:rPr>
            </w:pPr>
          </w:p>
        </w:tc>
        <w:tc>
          <w:tcPr>
            <w:tcW w:w="2953" w:type="dxa"/>
          </w:tcPr>
          <w:p w14:paraId="0411D875" w14:textId="2B4AD1DC" w:rsidR="00233D52" w:rsidRPr="009012E1" w:rsidRDefault="00233D52" w:rsidP="00233D5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2528E7C7"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426403.45</w:t>
            </w:r>
          </w:p>
        </w:tc>
        <w:tc>
          <w:tcPr>
            <w:tcW w:w="2976" w:type="dxa"/>
            <w:vAlign w:val="center"/>
          </w:tcPr>
          <w:p w14:paraId="7A2521F0" w14:textId="04560C79"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1303168.73</w:t>
            </w:r>
          </w:p>
        </w:tc>
      </w:tr>
      <w:tr w:rsidR="00233D52" w:rsidRPr="003552D8" w14:paraId="7F4193B9" w14:textId="77777777" w:rsidTr="00C176B6">
        <w:tc>
          <w:tcPr>
            <w:tcW w:w="562" w:type="dxa"/>
            <w:tcBorders>
              <w:top w:val="nil"/>
              <w:bottom w:val="nil"/>
            </w:tcBorders>
          </w:tcPr>
          <w:p w14:paraId="2CE316CE" w14:textId="77777777" w:rsidR="00233D52" w:rsidRPr="003552D8" w:rsidRDefault="00233D52" w:rsidP="00233D52">
            <w:pPr>
              <w:jc w:val="center"/>
              <w:rPr>
                <w:rFonts w:ascii="Times New Roman" w:hAnsi="Times New Roman" w:cs="Times New Roman"/>
                <w:sz w:val="27"/>
                <w:szCs w:val="27"/>
              </w:rPr>
            </w:pPr>
          </w:p>
        </w:tc>
        <w:tc>
          <w:tcPr>
            <w:tcW w:w="2953" w:type="dxa"/>
          </w:tcPr>
          <w:p w14:paraId="1EEEAA64" w14:textId="7061A9A1" w:rsidR="00233D52" w:rsidRPr="009012E1" w:rsidRDefault="00233D52" w:rsidP="00233D5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69ED316B"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426405.81</w:t>
            </w:r>
          </w:p>
        </w:tc>
        <w:tc>
          <w:tcPr>
            <w:tcW w:w="2976" w:type="dxa"/>
            <w:vAlign w:val="center"/>
          </w:tcPr>
          <w:p w14:paraId="6316DDA3" w14:textId="193E00E4" w:rsidR="00233D52" w:rsidRPr="006B3F62" w:rsidRDefault="00233D52" w:rsidP="00233D5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1303164.25</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3ED22028" w:rsidR="00474BFA" w:rsidRDefault="0053073F">
      <w:pPr>
        <w:rPr>
          <w:rFonts w:ascii="Times New Roman" w:hAnsi="Times New Roman" w:cs="Times New Roman"/>
        </w:rPr>
      </w:pPr>
      <w:r w:rsidRPr="0053073F">
        <w:rPr>
          <w:rFonts w:ascii="Times New Roman" w:hAnsi="Times New Roman" w:cs="Times New Roman"/>
        </w:rPr>
        <w:lastRenderedPageBreak/>
        <w:drawing>
          <wp:inline distT="0" distB="0" distL="0" distR="0" wp14:anchorId="1E287BE5" wp14:editId="1B44FF26">
            <wp:extent cx="5734050" cy="8822427"/>
            <wp:effectExtent l="0" t="0" r="0" b="0"/>
            <wp:docPr id="1867553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5301" name=""/>
                    <pic:cNvPicPr/>
                  </pic:nvPicPr>
                  <pic:blipFill>
                    <a:blip r:embed="rId9"/>
                    <a:stretch>
                      <a:fillRect/>
                    </a:stretch>
                  </pic:blipFill>
                  <pic:spPr>
                    <a:xfrm>
                      <a:off x="0" y="0"/>
                      <a:ext cx="5736507" cy="8826207"/>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0072AC6" w:rsidR="00F74915" w:rsidRPr="00C4054B" w:rsidRDefault="0053073F" w:rsidP="00474BFA">
            <w:pPr>
              <w:spacing w:after="0" w:line="240" w:lineRule="auto"/>
              <w:jc w:val="both"/>
              <w:rPr>
                <w:rFonts w:ascii="Times New Roman" w:hAnsi="Times New Roman" w:cs="Times New Roman"/>
                <w:sz w:val="28"/>
                <w:szCs w:val="28"/>
                <w:lang w:val="en-US"/>
              </w:rPr>
            </w:pPr>
            <w:r w:rsidRPr="00233D52">
              <w:rPr>
                <w:rFonts w:ascii="Times New Roman" w:eastAsia="Times New Roman" w:hAnsi="Times New Roman" w:cs="Times New Roman"/>
                <w:color w:val="000000" w:themeColor="text1"/>
                <w:sz w:val="28"/>
                <w:szCs w:val="28"/>
                <w:lang w:eastAsia="ru-RU"/>
              </w:rPr>
              <w:t>23:40:0401033</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1335"/>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723FD"/>
    <w:rsid w:val="001A5CC7"/>
    <w:rsid w:val="001B1170"/>
    <w:rsid w:val="001C733E"/>
    <w:rsid w:val="001E167A"/>
    <w:rsid w:val="001E30CF"/>
    <w:rsid w:val="001F35E1"/>
    <w:rsid w:val="00203C62"/>
    <w:rsid w:val="002210D4"/>
    <w:rsid w:val="00221D79"/>
    <w:rsid w:val="00223388"/>
    <w:rsid w:val="00225AE8"/>
    <w:rsid w:val="00231C45"/>
    <w:rsid w:val="00232C30"/>
    <w:rsid w:val="00233D52"/>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8006B"/>
    <w:rsid w:val="00393D1A"/>
    <w:rsid w:val="003A435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36BC"/>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073F"/>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9716F"/>
    <w:rsid w:val="009E43A6"/>
    <w:rsid w:val="009F68B1"/>
    <w:rsid w:val="009F6D14"/>
    <w:rsid w:val="00A0455E"/>
    <w:rsid w:val="00A13680"/>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54D37"/>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7855"/>
    <w:rsid w:val="00C918CB"/>
    <w:rsid w:val="00C918D0"/>
    <w:rsid w:val="00CA533C"/>
    <w:rsid w:val="00CB25DB"/>
    <w:rsid w:val="00CB55E7"/>
    <w:rsid w:val="00CC4139"/>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2839"/>
    <w:rsid w:val="00D60952"/>
    <w:rsid w:val="00DA76E6"/>
    <w:rsid w:val="00DC0EEC"/>
    <w:rsid w:val="00DD3B14"/>
    <w:rsid w:val="00DF34CB"/>
    <w:rsid w:val="00DF4062"/>
    <w:rsid w:val="00DF521A"/>
    <w:rsid w:val="00E1131A"/>
    <w:rsid w:val="00E1277D"/>
    <w:rsid w:val="00E13667"/>
    <w:rsid w:val="00E158FA"/>
    <w:rsid w:val="00E20904"/>
    <w:rsid w:val="00E21C2A"/>
    <w:rsid w:val="00E248BF"/>
    <w:rsid w:val="00E36844"/>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C5135"/>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2026-06-23T07:03:00Z</dcterms:created>
  <dcterms:modified xsi:type="dcterms:W3CDTF">2026-06-23T07:03:00Z</dcterms:modified>
</cp:coreProperties>
</file>