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257FDF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50678E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50678E">
              <w:rPr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sz w:val="28"/>
                <w:szCs w:val="28"/>
                <w:lang w:eastAsia="ru-RU"/>
              </w:rPr>
              <w:t>жилищно-коммунального хозяйства</w:t>
            </w:r>
            <w:r w:rsidR="00D065E5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257FDF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sz w:val="28"/>
                <w:szCs w:val="28"/>
                <w:lang w:eastAsia="ru-RU"/>
              </w:rPr>
              <w:t>Сугибину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87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87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</w:t>
      </w:r>
      <w:r w:rsidR="00B24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87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029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2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тарифов на подключение (технологическое присоединение) объектов капитального строительства, в том числе водопроводных</w:t>
      </w:r>
      <w:r w:rsidR="00C4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канализационных сетей, к централизованным системам холодного </w:t>
      </w:r>
      <w:r w:rsidR="00193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 общества с ограниченной ответственностью «Концессии водоснабжения - Геленджик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заявителей, величина подключаемой (присоединяемой) нагрузки объектов которых не превышает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куб. метров в сутки и (или) осуществляется</w:t>
      </w:r>
      <w:proofErr w:type="gramEnd"/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создаваемых сетей водоснабжения и (или) водоотведения с наружным диаметром, не превышающим </w:t>
      </w:r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250 мм (предельный уровень нагрузки), на период действия с 1 марта по 31 декабря 2020 года»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</w:t>
      </w:r>
      <w:proofErr w:type="gramEnd"/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«Концессии водоснабжения - Геленджик» для заявителей,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нагрузки), на период действия с 1 марта по 31 декабря 2020 года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4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554D2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A6E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D24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>я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«Концессии водоснабжения - Геленджик» для заявителей, величина подключаемой (присоединяемой) нагрузки объектов которых не превышает </w:t>
      </w:r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>250 куб. метров в сутки и (или</w:t>
      </w:r>
      <w:proofErr w:type="gramEnd"/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нагрузки), на период действия с </w:t>
      </w:r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EBB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по 31 декабря 2020 года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4D5412" w:rsidRDefault="004D5412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BB" w:rsidRDefault="003A6EBB" w:rsidP="003A6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6EBB" w:rsidRDefault="003A6EBB" w:rsidP="003A6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18 февраля 2020 года №26</w:t>
      </w:r>
    </w:p>
    <w:p w:rsidR="003A6EBB" w:rsidRDefault="003A6EBB" w:rsidP="003A6EB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«Концессии водоснабжения - Геленджик» для заявителей, величина подключаемой (присоединяемой) нагрузки объектов которых не превышает 250 куб. метров в сутки и (или) осуществляется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создаваемых сетей водоснабжения и (или) водоотведения с наружным диаметром, не превышающим   250 мм (предельный уровень нагрузки), на период действия с 1 марта по 31 декабря 2020 года»</w:t>
      </w:r>
    </w:p>
    <w:p w:rsidR="003A6EBB" w:rsidRDefault="003A6EBB" w:rsidP="003A6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BB" w:rsidRDefault="003A6EBB" w:rsidP="003A6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BB" w:rsidRDefault="003A6EBB" w:rsidP="003A6EB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«Концессии водоснабжения - Геленджик» для заявителей,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нагрузки), на период действия с 1 марта по 31 декабря 2020 года»,      14 февраля 2020 года поступивший от 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6EBB" w:rsidRDefault="003A6EBB" w:rsidP="003A6EBB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14 февраля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«Дума», в подразделе «Нормативные правовые акты Думы» для проведения независимой антикоррупционной экспертизы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нормативных правовых актов (проектов нормативных правовых актов) Думы муниципального образования город-курорт Геленджик.</w:t>
      </w:r>
    </w:p>
    <w:p w:rsidR="003A6EBB" w:rsidRPr="00197109" w:rsidRDefault="003A6EBB" w:rsidP="003A6E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«Концессии водоснабжения - Геленджик» для заявителей, величина подключаемой (присоединяемой) нагрузки объектов которых не превышает  250 куб. метров в сутки и (или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нагрузки), на период действия с    1 марта по 31 декабря 2020 года»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A6EBB" w:rsidRPr="00197109" w:rsidRDefault="003A6EBB" w:rsidP="003A6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A6EBB" w:rsidRPr="00197109" w:rsidRDefault="003A6EBB" w:rsidP="003A6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EBB" w:rsidRDefault="003A6EBB" w:rsidP="003A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BB" w:rsidRDefault="003A6EBB" w:rsidP="003A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BB" w:rsidRDefault="003A6EBB" w:rsidP="003A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A6EBB" w:rsidRDefault="003A6EBB" w:rsidP="003A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EBB" w:rsidRDefault="003A6EBB" w:rsidP="003A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40" w:rsidRDefault="00BC5140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1586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2020-02-18T07:19:00Z</cp:lastPrinted>
  <dcterms:created xsi:type="dcterms:W3CDTF">2020-02-18T14:28:00Z</dcterms:created>
  <dcterms:modified xsi:type="dcterms:W3CDTF">2020-02-18T14:28:00Z</dcterms:modified>
</cp:coreProperties>
</file>